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FE2B" w14:textId="77777777" w:rsidR="00BC5752" w:rsidRPr="00F95474" w:rsidRDefault="00BC5752">
      <w:pPr>
        <w:rPr>
          <w:rFonts w:cstheme="minorHAnsi"/>
        </w:rPr>
      </w:pPr>
    </w:p>
    <w:p w14:paraId="606F63C1" w14:textId="2C52BC6E" w:rsidR="00BC5752" w:rsidRPr="008F252C" w:rsidRDefault="00BC5752" w:rsidP="00BC5752">
      <w:pPr>
        <w:jc w:val="center"/>
        <w:rPr>
          <w:rFonts w:cstheme="minorHAnsi"/>
          <w:b/>
          <w:bCs/>
        </w:rPr>
      </w:pPr>
      <w:r w:rsidRPr="008F252C">
        <w:rPr>
          <w:rFonts w:cstheme="minorHAnsi"/>
          <w:b/>
          <w:bCs/>
        </w:rPr>
        <w:t>INSTRUCTIONS FOR USE</w:t>
      </w:r>
    </w:p>
    <w:p w14:paraId="7D138F37" w14:textId="765DAEAC" w:rsidR="00BC5752" w:rsidRDefault="00076750" w:rsidP="00BC575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IFAK</w:t>
      </w:r>
    </w:p>
    <w:p w14:paraId="0302FD97" w14:textId="4B026B5F" w:rsidR="00076750" w:rsidRPr="008F252C" w:rsidRDefault="00076750" w:rsidP="00BC575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Individual First Aid Kit</w:t>
      </w:r>
    </w:p>
    <w:p w14:paraId="4BF797B9" w14:textId="77777777" w:rsidR="00234755" w:rsidRPr="008F252C" w:rsidRDefault="00234755" w:rsidP="00BC57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840E0A9" w14:textId="79E9AFDE" w:rsidR="00234755" w:rsidRPr="00211E5E" w:rsidRDefault="00BC5752" w:rsidP="00211E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11E5E">
        <w:rPr>
          <w:rStyle w:val="eop"/>
          <w:rFonts w:asciiTheme="minorHAnsi" w:hAnsiTheme="minorHAnsi" w:cstheme="minorHAnsi"/>
          <w:sz w:val="22"/>
          <w:szCs w:val="22"/>
        </w:rPr>
        <w:t>INTENDED USE:</w:t>
      </w:r>
      <w:r w:rsidRPr="008F252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211E5E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0B6609" w:rsidRPr="00211E5E">
        <w:rPr>
          <w:rStyle w:val="eop"/>
          <w:rFonts w:asciiTheme="minorHAnsi" w:hAnsiTheme="minorHAnsi" w:cstheme="minorHAnsi"/>
          <w:sz w:val="22"/>
          <w:szCs w:val="22"/>
        </w:rPr>
        <w:t>Individual First-Aid Kit (IFAK) is a procedure pack which contain devices intended for the first aid support to the individual.</w:t>
      </w:r>
    </w:p>
    <w:p w14:paraId="7EB7478D" w14:textId="585A5814" w:rsidR="00234755" w:rsidRPr="008A4000" w:rsidRDefault="00BC5752" w:rsidP="000B6609">
      <w:pPr>
        <w:rPr>
          <w:rStyle w:val="eop"/>
          <w:rFonts w:eastAsia="Times New Roman" w:cstheme="minorHAnsi"/>
          <w:lang w:bidi="he-IL"/>
        </w:rPr>
      </w:pPr>
      <w:r w:rsidRPr="008A4000">
        <w:rPr>
          <w:rStyle w:val="eop"/>
          <w:rFonts w:eastAsia="Times New Roman" w:cstheme="minorHAnsi"/>
          <w:lang w:bidi="he-IL"/>
        </w:rPr>
        <w:t>INTENDED USER</w:t>
      </w:r>
      <w:r w:rsidR="003E20EF" w:rsidRPr="008A4000">
        <w:rPr>
          <w:rStyle w:val="eop"/>
          <w:rFonts w:eastAsia="Times New Roman" w:cstheme="minorHAnsi"/>
          <w:lang w:bidi="he-IL"/>
        </w:rPr>
        <w:t>S:</w:t>
      </w:r>
      <w:r w:rsidR="000B6609" w:rsidRPr="008A4000">
        <w:rPr>
          <w:rStyle w:val="eop"/>
          <w:rFonts w:eastAsia="Times New Roman" w:cstheme="minorHAnsi"/>
          <w:lang w:bidi="he-IL"/>
        </w:rPr>
        <w:t xml:space="preserve"> First responders and other subjects in </w:t>
      </w:r>
      <w:r w:rsidR="00A56E76" w:rsidRPr="008A4000">
        <w:rPr>
          <w:rStyle w:val="eop"/>
          <w:rFonts w:eastAsia="Times New Roman" w:cstheme="minorHAnsi"/>
          <w:lang w:bidi="he-IL"/>
        </w:rPr>
        <w:t>need for</w:t>
      </w:r>
      <w:r w:rsidR="000B6609" w:rsidRPr="008A4000">
        <w:rPr>
          <w:rStyle w:val="eop"/>
          <w:rFonts w:eastAsia="Times New Roman" w:cstheme="minorHAnsi"/>
          <w:lang w:bidi="he-IL"/>
        </w:rPr>
        <w:t xml:space="preserve"> the first aid support.</w:t>
      </w:r>
    </w:p>
    <w:p w14:paraId="2DCBCE54" w14:textId="5F7711F3" w:rsidR="00234755" w:rsidRPr="00211E5E" w:rsidRDefault="00BC5752" w:rsidP="000B66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11E5E">
        <w:rPr>
          <w:rStyle w:val="eop"/>
          <w:rFonts w:asciiTheme="minorHAnsi" w:hAnsiTheme="minorHAnsi" w:cstheme="minorHAnsi"/>
          <w:sz w:val="22"/>
          <w:szCs w:val="22"/>
        </w:rPr>
        <w:t>PERFORMANCE:</w:t>
      </w:r>
      <w:r w:rsidR="000B6609" w:rsidRPr="00211E5E">
        <w:rPr>
          <w:rStyle w:val="eop"/>
          <w:rFonts w:asciiTheme="minorHAnsi" w:hAnsiTheme="minorHAnsi" w:cstheme="minorHAnsi"/>
          <w:sz w:val="22"/>
          <w:szCs w:val="22"/>
        </w:rPr>
        <w:t xml:space="preserve"> It achieves its intended use by applying different pack devices according the need of the patient.</w:t>
      </w:r>
    </w:p>
    <w:p w14:paraId="0F7CDBD1" w14:textId="27E4D246" w:rsidR="00BC5752" w:rsidRPr="00211E5E" w:rsidRDefault="00BC5752" w:rsidP="0006277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A4000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06277F" w:rsidRPr="008A4000">
        <w:rPr>
          <w:rStyle w:val="eop"/>
          <w:rFonts w:asciiTheme="minorHAnsi" w:hAnsiTheme="minorHAnsi" w:cstheme="minorHAnsi"/>
          <w:sz w:val="22"/>
          <w:szCs w:val="22"/>
        </w:rPr>
        <w:t>INSTRUCTIONS</w:t>
      </w:r>
      <w:r w:rsidRPr="008A4000">
        <w:rPr>
          <w:rStyle w:val="eop"/>
          <w:rFonts w:asciiTheme="minorHAnsi" w:hAnsiTheme="minorHAnsi" w:cstheme="minorHAnsi"/>
          <w:sz w:val="22"/>
          <w:szCs w:val="22"/>
        </w:rPr>
        <w:t>: </w:t>
      </w:r>
    </w:p>
    <w:p w14:paraId="30937547" w14:textId="77777777" w:rsidR="000B6609" w:rsidRPr="008A4000" w:rsidRDefault="000B6609" w:rsidP="000B6609">
      <w:pPr>
        <w:pStyle w:val="ListParagraph"/>
        <w:numPr>
          <w:ilvl w:val="0"/>
          <w:numId w:val="1"/>
        </w:numPr>
        <w:rPr>
          <w:rStyle w:val="eop"/>
          <w:rFonts w:eastAsia="Times New Roman" w:cstheme="minorHAnsi"/>
          <w:lang w:bidi="he-IL"/>
        </w:rPr>
      </w:pPr>
      <w:r w:rsidRPr="008A4000">
        <w:rPr>
          <w:rStyle w:val="eop"/>
          <w:rFonts w:eastAsia="Times New Roman" w:cstheme="minorHAnsi"/>
          <w:lang w:bidi="he-IL"/>
        </w:rPr>
        <w:t>Remove IFAK from packaging</w:t>
      </w:r>
    </w:p>
    <w:p w14:paraId="2406EFA6" w14:textId="6FF7CCFA" w:rsidR="000B6609" w:rsidRPr="008A4000" w:rsidRDefault="000B6609" w:rsidP="000B6609">
      <w:pPr>
        <w:pStyle w:val="ListParagraph"/>
        <w:numPr>
          <w:ilvl w:val="0"/>
          <w:numId w:val="1"/>
        </w:numPr>
        <w:rPr>
          <w:rStyle w:val="eop"/>
          <w:rFonts w:eastAsia="Times New Roman" w:cstheme="minorHAnsi"/>
          <w:lang w:bidi="he-IL"/>
        </w:rPr>
      </w:pPr>
      <w:r w:rsidRPr="008A4000">
        <w:rPr>
          <w:rStyle w:val="eop"/>
          <w:rFonts w:eastAsia="Times New Roman" w:cstheme="minorHAnsi"/>
          <w:lang w:bidi="he-IL"/>
        </w:rPr>
        <w:t xml:space="preserve">Attach IFAK to preferred area of uniform / gear / belt. Drop leg style units are often attached to the </w:t>
      </w:r>
      <w:r w:rsidR="00A56E76" w:rsidRPr="008A4000">
        <w:rPr>
          <w:rStyle w:val="eop"/>
          <w:rFonts w:eastAsia="Times New Roman" w:cstheme="minorHAnsi"/>
          <w:lang w:bidi="he-IL"/>
        </w:rPr>
        <w:t>wearer’s</w:t>
      </w:r>
      <w:r w:rsidRPr="008A4000">
        <w:rPr>
          <w:rStyle w:val="eop"/>
          <w:rFonts w:eastAsia="Times New Roman" w:cstheme="minorHAnsi"/>
          <w:lang w:bidi="he-IL"/>
        </w:rPr>
        <w:t xml:space="preserve"> belt and upper thigh.  Use the </w:t>
      </w:r>
      <w:proofErr w:type="spellStart"/>
      <w:r w:rsidRPr="008A4000">
        <w:rPr>
          <w:rStyle w:val="eop"/>
          <w:rFonts w:eastAsia="Times New Roman" w:cstheme="minorHAnsi"/>
          <w:lang w:bidi="he-IL"/>
        </w:rPr>
        <w:t>Molle</w:t>
      </w:r>
      <w:proofErr w:type="spellEnd"/>
      <w:r w:rsidRPr="008A4000">
        <w:rPr>
          <w:rStyle w:val="eop"/>
          <w:rFonts w:eastAsia="Times New Roman" w:cstheme="minorHAnsi"/>
          <w:lang w:bidi="he-IL"/>
        </w:rPr>
        <w:t xml:space="preserve"> straps to allow the IFAK to be secured to bags and other areas of equipment. This is the user’s preference.</w:t>
      </w:r>
    </w:p>
    <w:p w14:paraId="39247864" w14:textId="77777777" w:rsidR="000B6609" w:rsidRPr="008A4000" w:rsidRDefault="000B6609" w:rsidP="000B6609">
      <w:pPr>
        <w:pStyle w:val="ListParagraph"/>
        <w:numPr>
          <w:ilvl w:val="0"/>
          <w:numId w:val="1"/>
        </w:numPr>
        <w:rPr>
          <w:rStyle w:val="eop"/>
          <w:rFonts w:eastAsia="Times New Roman" w:cstheme="minorHAnsi"/>
          <w:lang w:bidi="he-IL"/>
        </w:rPr>
      </w:pPr>
      <w:r w:rsidRPr="008A4000">
        <w:rPr>
          <w:rStyle w:val="eop"/>
          <w:rFonts w:eastAsia="Times New Roman" w:cstheme="minorHAnsi"/>
          <w:lang w:bidi="he-IL"/>
        </w:rPr>
        <w:t>Verify the zipper / bag is sealed and closed when not in use &amp; in transport.</w:t>
      </w:r>
    </w:p>
    <w:p w14:paraId="472B59F0" w14:textId="77777777" w:rsidR="000B6609" w:rsidRPr="008A4000" w:rsidRDefault="000B6609" w:rsidP="000B6609">
      <w:pPr>
        <w:pStyle w:val="ListParagraph"/>
        <w:numPr>
          <w:ilvl w:val="0"/>
          <w:numId w:val="1"/>
        </w:numPr>
        <w:rPr>
          <w:rStyle w:val="eop"/>
          <w:rFonts w:eastAsia="Times New Roman" w:cstheme="minorHAnsi"/>
          <w:lang w:bidi="he-IL"/>
        </w:rPr>
      </w:pPr>
      <w:r w:rsidRPr="008A4000">
        <w:rPr>
          <w:rStyle w:val="eop"/>
          <w:rFonts w:eastAsia="Times New Roman" w:cstheme="minorHAnsi"/>
          <w:lang w:bidi="he-IL"/>
        </w:rPr>
        <w:t>When IFAK items are needed, open zipper and expose items inside IFAK. Try to keep the items clean and free from debris before they are put into use.</w:t>
      </w:r>
    </w:p>
    <w:p w14:paraId="02151D29" w14:textId="20E5AFD1" w:rsidR="000B6609" w:rsidRPr="008A4000" w:rsidRDefault="000B6609" w:rsidP="000B6609">
      <w:pPr>
        <w:pStyle w:val="ListParagraph"/>
        <w:numPr>
          <w:ilvl w:val="0"/>
          <w:numId w:val="1"/>
        </w:numPr>
        <w:rPr>
          <w:rStyle w:val="eop"/>
          <w:rFonts w:eastAsia="Times New Roman" w:cstheme="minorHAnsi"/>
          <w:lang w:bidi="he-IL"/>
        </w:rPr>
      </w:pPr>
      <w:r w:rsidRPr="008A4000">
        <w:rPr>
          <w:rStyle w:val="eop"/>
          <w:rFonts w:eastAsia="Times New Roman" w:cstheme="minorHAnsi"/>
          <w:lang w:bidi="he-IL"/>
        </w:rPr>
        <w:t>Select the items needed and pull free from IFAK interior compartments.  It is recommended that the user become familiar with each IFAK component location prior to use.</w:t>
      </w:r>
    </w:p>
    <w:p w14:paraId="7F0C63B1" w14:textId="77777777" w:rsidR="000B6609" w:rsidRPr="008A4000" w:rsidRDefault="000B6609" w:rsidP="000B6609">
      <w:pPr>
        <w:pStyle w:val="ListParagraph"/>
        <w:numPr>
          <w:ilvl w:val="0"/>
          <w:numId w:val="1"/>
        </w:numPr>
        <w:rPr>
          <w:rStyle w:val="eop"/>
          <w:rFonts w:eastAsia="Times New Roman" w:cstheme="minorHAnsi"/>
          <w:lang w:bidi="he-IL"/>
        </w:rPr>
      </w:pPr>
      <w:r w:rsidRPr="008A4000">
        <w:rPr>
          <w:rStyle w:val="eop"/>
          <w:rFonts w:eastAsia="Times New Roman" w:cstheme="minorHAnsi"/>
          <w:lang w:bidi="he-IL"/>
        </w:rPr>
        <w:t>See individual items instructions for information on their recommended usage steps.</w:t>
      </w:r>
    </w:p>
    <w:p w14:paraId="5E278951" w14:textId="77DFC7FC" w:rsidR="00234755" w:rsidRDefault="00234755" w:rsidP="0006277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DBEA4B6" w14:textId="21CE417A" w:rsidR="00606538" w:rsidRPr="008A4000" w:rsidRDefault="009B55E3" w:rsidP="000B6609">
      <w:pPr>
        <w:shd w:val="clear" w:color="auto" w:fill="FFFFFF"/>
        <w:rPr>
          <w:rStyle w:val="eop"/>
          <w:rFonts w:eastAsia="Times New Roman" w:cstheme="minorHAnsi"/>
          <w:lang w:bidi="he-IL"/>
        </w:rPr>
      </w:pPr>
      <w:r w:rsidRPr="008A4000">
        <w:rPr>
          <w:rStyle w:val="eop"/>
          <w:rFonts w:eastAsia="Times New Roman" w:cstheme="minorHAnsi"/>
          <w:lang w:bidi="he-IL"/>
        </w:rPr>
        <w:t>MAINTENANCE</w:t>
      </w:r>
      <w:r w:rsidR="008F252C" w:rsidRPr="008A4000">
        <w:rPr>
          <w:rStyle w:val="eop"/>
          <w:rFonts w:eastAsia="Times New Roman" w:cstheme="minorHAnsi"/>
          <w:lang w:bidi="he-IL"/>
        </w:rPr>
        <w:t xml:space="preserve"> &amp; </w:t>
      </w:r>
      <w:r w:rsidRPr="008A4000">
        <w:rPr>
          <w:rStyle w:val="eop"/>
          <w:rFonts w:eastAsia="Times New Roman" w:cstheme="minorHAnsi"/>
          <w:lang w:bidi="he-IL"/>
        </w:rPr>
        <w:t xml:space="preserve">CLEANING: </w:t>
      </w:r>
      <w:r w:rsidR="000B6609" w:rsidRPr="008A4000">
        <w:rPr>
          <w:rStyle w:val="eop"/>
          <w:rFonts w:eastAsia="Times New Roman" w:cstheme="minorHAnsi"/>
          <w:lang w:bidi="he-IL"/>
        </w:rPr>
        <w:t>After use, close IFAK using zipper and straps.  Replace used items before next use.</w:t>
      </w:r>
    </w:p>
    <w:p w14:paraId="766B5C6D" w14:textId="724024BC" w:rsidR="004B4F5F" w:rsidRPr="004B4F5F" w:rsidRDefault="00BC5752" w:rsidP="000B660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F252C">
        <w:rPr>
          <w:rStyle w:val="eop"/>
          <w:rFonts w:asciiTheme="minorHAnsi" w:hAnsiTheme="minorHAnsi" w:cstheme="minorHAnsi"/>
          <w:sz w:val="22"/>
          <w:szCs w:val="22"/>
        </w:rPr>
        <w:t>CONTRAINDICATIONS: None</w:t>
      </w:r>
    </w:p>
    <w:p w14:paraId="5926A133" w14:textId="623B64B6" w:rsidR="00234755" w:rsidRPr="000B6609" w:rsidRDefault="00D52D4A" w:rsidP="000B6609">
      <w:pPr>
        <w:spacing w:after="200" w:line="276" w:lineRule="auto"/>
        <w:rPr>
          <w:rStyle w:val="eop"/>
          <w:rFonts w:eastAsia="Times New Roman" w:cstheme="minorHAnsi"/>
          <w:lang w:bidi="he-IL"/>
        </w:rPr>
      </w:pPr>
      <w:r w:rsidRPr="008F252C">
        <w:rPr>
          <w:rStyle w:val="eop"/>
          <w:rFonts w:eastAsia="Times New Roman" w:cstheme="minorHAnsi"/>
          <w:lang w:bidi="he-IL"/>
        </w:rPr>
        <w:t>WARNINGS, PRECAUTIONS &amp; LIMITATIONS: None</w:t>
      </w:r>
    </w:p>
    <w:p w14:paraId="69DD6738" w14:textId="3AF9C570" w:rsidR="0006277F" w:rsidRPr="00B819DC" w:rsidRDefault="0006277F" w:rsidP="0006277F">
      <w:pPr>
        <w:spacing w:after="200" w:line="276" w:lineRule="auto"/>
        <w:rPr>
          <w:rStyle w:val="eop"/>
          <w:rFonts w:eastAsia="Times New Roman" w:cstheme="minorHAnsi"/>
          <w:lang w:bidi="he-IL"/>
        </w:rPr>
      </w:pPr>
      <w:r>
        <w:rPr>
          <w:rStyle w:val="eop"/>
          <w:rFonts w:eastAsia="Times New Roman" w:cstheme="minorHAnsi"/>
          <w:lang w:bidi="he-IL"/>
        </w:rPr>
        <w:t>SAFE DISPOSAL:</w:t>
      </w:r>
      <w:r w:rsidR="00A35824" w:rsidRPr="00A35824">
        <w:rPr>
          <w:rStyle w:val="eop"/>
          <w:rFonts w:eastAsia="Times New Roman" w:cstheme="minorHAnsi"/>
          <w:lang w:bidi="he-IL"/>
        </w:rPr>
        <w:t xml:space="preserve"> </w:t>
      </w:r>
      <w:r w:rsidR="00A35824">
        <w:rPr>
          <w:rStyle w:val="eop"/>
          <w:rFonts w:eastAsia="Times New Roman" w:cstheme="minorHAnsi"/>
          <w:lang w:bidi="he-IL"/>
        </w:rPr>
        <w:t>The product should be disposed in the dedicated area as recommended by the local authorities.</w:t>
      </w:r>
    </w:p>
    <w:p w14:paraId="263048B0" w14:textId="00B29E7F" w:rsidR="0055547A" w:rsidRPr="00211E5E" w:rsidRDefault="0006277F" w:rsidP="000B660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875820">
        <w:rPr>
          <w:rStyle w:val="eop"/>
          <w:rFonts w:asciiTheme="minorHAnsi" w:hAnsiTheme="minorHAnsi" w:cstheme="minorHAnsi"/>
          <w:sz w:val="22"/>
          <w:szCs w:val="22"/>
        </w:rPr>
        <w:t xml:space="preserve">NOTICE: Please report to FareTec or to the competent authority of the Member State in which you use this product </w:t>
      </w:r>
      <w:r w:rsidRPr="00CA1EF5">
        <w:rPr>
          <w:rStyle w:val="eop"/>
          <w:rFonts w:asciiTheme="minorHAnsi" w:hAnsiTheme="minorHAnsi" w:cstheme="minorHAnsi"/>
          <w:sz w:val="22"/>
          <w:szCs w:val="22"/>
        </w:rPr>
        <w:t>any serious incident that has occurred and you suspect is in relation to this device.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CA1EF5">
        <w:rPr>
          <w:rStyle w:val="eop"/>
          <w:rFonts w:asciiTheme="minorHAnsi" w:hAnsiTheme="minorHAnsi" w:cstheme="minorHAnsi"/>
          <w:sz w:val="22"/>
          <w:szCs w:val="22"/>
        </w:rPr>
        <w:t xml:space="preserve">If you suspect a potential defect or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a </w:t>
      </w:r>
      <w:r w:rsidRPr="00CA1EF5">
        <w:rPr>
          <w:rStyle w:val="eop"/>
          <w:rFonts w:asciiTheme="minorHAnsi" w:hAnsiTheme="minorHAnsi" w:cstheme="minorHAnsi"/>
          <w:sz w:val="22"/>
          <w:szCs w:val="22"/>
        </w:rPr>
        <w:t xml:space="preserve">product has not met your expectations, please report this to </w:t>
      </w:r>
      <w:r>
        <w:rPr>
          <w:rStyle w:val="eop"/>
          <w:rFonts w:asciiTheme="minorHAnsi" w:hAnsiTheme="minorHAnsi" w:cstheme="minorHAnsi"/>
          <w:sz w:val="22"/>
          <w:szCs w:val="22"/>
        </w:rPr>
        <w:t>the Company</w:t>
      </w:r>
      <w:r w:rsidRPr="00CA1EF5">
        <w:rPr>
          <w:rStyle w:val="eop"/>
          <w:rFonts w:asciiTheme="minorHAnsi" w:hAnsiTheme="minorHAnsi" w:cstheme="minorHAnsi"/>
          <w:sz w:val="22"/>
          <w:szCs w:val="22"/>
        </w:rPr>
        <w:t xml:space="preserve"> and provide as much information as possible.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Company phone number: +1-</w:t>
      </w:r>
      <w:r w:rsidRPr="00C67BF5">
        <w:rPr>
          <w:rStyle w:val="eop"/>
          <w:rFonts w:asciiTheme="minorHAnsi" w:hAnsiTheme="minorHAnsi" w:cstheme="minorHAnsi"/>
          <w:sz w:val="22"/>
          <w:szCs w:val="22"/>
        </w:rPr>
        <w:t>440-350-9510</w:t>
      </w:r>
    </w:p>
    <w:p w14:paraId="2158DED7" w14:textId="75F890BC" w:rsidR="00AA56A0" w:rsidRPr="00F95474" w:rsidRDefault="00AA56A0" w:rsidP="000B6609">
      <w:pPr>
        <w:rPr>
          <w:rFonts w:cstheme="minorHAnsi"/>
        </w:rPr>
      </w:pPr>
      <w:r w:rsidRPr="00F95474">
        <w:rPr>
          <w:rFonts w:cstheme="minorHAnsi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0E100" wp14:editId="7F74927D">
                <wp:simplePos x="0" y="0"/>
                <wp:positionH relativeFrom="column">
                  <wp:posOffset>714375</wp:posOffset>
                </wp:positionH>
                <wp:positionV relativeFrom="paragraph">
                  <wp:posOffset>71120</wp:posOffset>
                </wp:positionV>
                <wp:extent cx="5362575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7FB5" w14:textId="77777777" w:rsidR="00AA56A0" w:rsidRDefault="00AA56A0" w:rsidP="00AA56A0">
                            <w:r>
                              <w:t>FareTec Inc, 1610 West Jackson St, Painesville, OH 44077 USA, (p) 440-350-9510</w:t>
                            </w:r>
                          </w:p>
                          <w:p w14:paraId="29BA3DCA" w14:textId="77777777" w:rsidR="00AA56A0" w:rsidRDefault="00AA56A0" w:rsidP="00AA56A0">
                            <w:r>
                              <w:t>(f) 440-350-9520, www.faretec.com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0E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25pt;margin-top:5.6pt;width:422.2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">
                <v:textbox>
                  <w:txbxContent>
                    <w:p w14:paraId="5D127FB5" w14:textId="77777777" w:rsidR="00AA56A0" w:rsidRDefault="00AA56A0" w:rsidP="00AA56A0">
                      <w:proofErr w:type="spellStart"/>
                      <w:r>
                        <w:t>FareTec</w:t>
                      </w:r>
                      <w:proofErr w:type="spellEnd"/>
                      <w:r>
                        <w:t xml:space="preserve"> Inc, 1610 West Jackson St, Painesville, OH 44077 USA, (p) 440-350-9510</w:t>
                      </w:r>
                    </w:p>
                    <w:p w14:paraId="29BA3DCA" w14:textId="77777777" w:rsidR="00AA56A0" w:rsidRDefault="00AA56A0" w:rsidP="00AA56A0">
                      <w:r>
                        <w:t>(f) 440-350-9520, www.faretec.com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3624CF47" wp14:editId="3D30B906">
            <wp:extent cx="495300" cy="495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ufactur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86" cy="4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9B060" w14:textId="77777777" w:rsidR="00AA56A0" w:rsidRPr="00F95474" w:rsidRDefault="00AA56A0">
      <w:pPr>
        <w:rPr>
          <w:rFonts w:cstheme="minorHAnsi"/>
        </w:rPr>
      </w:pPr>
    </w:p>
    <w:p w14:paraId="5F4996E6" w14:textId="77777777" w:rsidR="0021498E" w:rsidRDefault="00AA56A0">
      <w:pPr>
        <w:rPr>
          <w:rFonts w:cstheme="minorHAnsi"/>
          <w:noProof/>
          <w:lang w:val="en-AU" w:eastAsia="en-AU"/>
        </w:rPr>
      </w:pPr>
      <w:r w:rsidRPr="00F95474">
        <w:rPr>
          <w:rFonts w:cstheme="minorHAnsi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36FA0B" wp14:editId="7E01B2C2">
                <wp:simplePos x="0" y="0"/>
                <wp:positionH relativeFrom="column">
                  <wp:posOffset>1066800</wp:posOffset>
                </wp:positionH>
                <wp:positionV relativeFrom="paragraph">
                  <wp:posOffset>63500</wp:posOffset>
                </wp:positionV>
                <wp:extent cx="4438650" cy="5048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3996C" w14:textId="750E9213" w:rsidR="0021498E" w:rsidRDefault="0021498E" w:rsidP="0021498E">
                            <w:bookmarkStart w:id="0" w:name="_Hlk74318230"/>
                            <w:r>
                              <w:t xml:space="preserve">CMC Medical Devices &amp; Drugs S.L., C/ Horacio </w:t>
                            </w:r>
                            <w:proofErr w:type="spellStart"/>
                            <w:r>
                              <w:t>Lengo</w:t>
                            </w:r>
                            <w:proofErr w:type="spellEnd"/>
                            <w:r>
                              <w:t xml:space="preserve"> n18, C.P 29006 Málaga-</w:t>
                            </w:r>
                            <w:bookmarkEnd w:id="0"/>
                            <w:r>
                              <w:t>Spain</w:t>
                            </w:r>
                          </w:p>
                          <w:p w14:paraId="215275C9" w14:textId="784A7190" w:rsidR="00AA56A0" w:rsidRPr="0021498E" w:rsidRDefault="00AA56A0" w:rsidP="00AA5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FA0B" id="_x0000_s1027" type="#_x0000_t202" style="position:absolute;margin-left:84pt;margin-top:5pt;width:349.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">
                <v:textbox>
                  <w:txbxContent>
                    <w:p w14:paraId="5AF3996C" w14:textId="750E9213" w:rsidR="0021498E" w:rsidRDefault="0021498E" w:rsidP="0021498E">
                      <w:bookmarkStart w:id="1" w:name="_Hlk74318230"/>
                      <w:r>
                        <w:t xml:space="preserve">CMC Medical Devices &amp; Drugs S.L., C/ Horacio </w:t>
                      </w:r>
                      <w:proofErr w:type="spellStart"/>
                      <w:r>
                        <w:t>Lengo</w:t>
                      </w:r>
                      <w:proofErr w:type="spellEnd"/>
                      <w:r>
                        <w:t xml:space="preserve"> n18, C.P 29006 Málaga-</w:t>
                      </w:r>
                      <w:bookmarkEnd w:id="1"/>
                      <w:r>
                        <w:t>Spain</w:t>
                      </w:r>
                    </w:p>
                    <w:p w14:paraId="215275C9" w14:textId="784A7190" w:rsidR="00AA56A0" w:rsidRPr="0021498E" w:rsidRDefault="00AA56A0" w:rsidP="00AA56A0"/>
                  </w:txbxContent>
                </v:textbox>
                <w10:wrap type="square"/>
              </v:shape>
            </w:pict>
          </mc:Fallback>
        </mc:AlternateConten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3108557A" wp14:editId="27C3EA49">
            <wp:extent cx="933450" cy="41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 RE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51" cy="43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474">
        <w:rPr>
          <w:rFonts w:cstheme="minorHAnsi"/>
          <w:noProof/>
          <w:lang w:val="en-AU" w:eastAsia="en-AU"/>
        </w:rPr>
        <w:t xml:space="preserve"> </w:t>
      </w:r>
      <w:r w:rsidRPr="00F95474">
        <w:rPr>
          <w:rFonts w:cstheme="minorHAnsi"/>
          <w:noProof/>
          <w:lang w:bidi="he-IL"/>
        </w:rPr>
        <w:drawing>
          <wp:inline distT="0" distB="0" distL="0" distR="0" wp14:anchorId="21FFB881" wp14:editId="6A55F95D">
            <wp:extent cx="590550" cy="4049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17" cy="42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B912E" w14:textId="77777777" w:rsidR="0021498E" w:rsidRDefault="0021498E">
      <w:pPr>
        <w:rPr>
          <w:rFonts w:cstheme="minorHAnsi"/>
          <w:noProof/>
          <w:lang w:val="en-AU" w:eastAsia="en-AU"/>
        </w:rPr>
      </w:pPr>
    </w:p>
    <w:p w14:paraId="34447588" w14:textId="77777777" w:rsidR="0021498E" w:rsidRDefault="0021498E">
      <w:pPr>
        <w:rPr>
          <w:rFonts w:cstheme="minorHAnsi"/>
          <w:noProof/>
          <w:lang w:val="en-AU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237"/>
        <w:gridCol w:w="2236"/>
        <w:gridCol w:w="2237"/>
      </w:tblGrid>
      <w:tr w:rsidR="0021498E" w14:paraId="169275CC" w14:textId="77777777" w:rsidTr="00ED633B">
        <w:trPr>
          <w:trHeight w:val="1343"/>
        </w:trPr>
        <w:tc>
          <w:tcPr>
            <w:tcW w:w="2236" w:type="dxa"/>
          </w:tcPr>
          <w:p w14:paraId="08708014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</w:p>
          <w:p w14:paraId="5EEE3643" w14:textId="77777777" w:rsidR="0021498E" w:rsidRPr="00DB2B08" w:rsidRDefault="0021498E" w:rsidP="00ED633B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263BCB16" wp14:editId="5EEAC223">
                  <wp:extent cx="598805" cy="598805"/>
                  <wp:effectExtent l="0" t="0" r="0" b="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73A48E9D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Manufacturer</w:t>
            </w:r>
          </w:p>
          <w:p w14:paraId="0B001AEB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236" w:type="dxa"/>
          </w:tcPr>
          <w:p w14:paraId="1E1562D8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</w:p>
          <w:p w14:paraId="357DB829" w14:textId="77777777" w:rsidR="0021498E" w:rsidRPr="00144ACA" w:rsidRDefault="0021498E" w:rsidP="00ED633B">
            <w:pPr>
              <w:jc w:val="center"/>
              <w:rPr>
                <w:rFonts w:cstheme="minorHAnsi"/>
                <w:lang w:val="en-AU" w:eastAsia="en-AU"/>
              </w:rPr>
            </w:pPr>
            <w:r w:rsidRPr="00F95474">
              <w:rPr>
                <w:rFonts w:cstheme="minorHAnsi"/>
                <w:noProof/>
                <w:lang w:bidi="he-IL"/>
              </w:rPr>
              <w:drawing>
                <wp:inline distT="0" distB="0" distL="0" distR="0" wp14:anchorId="6F26ACED" wp14:editId="39C4F5BC">
                  <wp:extent cx="933450" cy="419660"/>
                  <wp:effectExtent l="0" t="0" r="0" b="0"/>
                  <wp:docPr id="19" name="Picture 1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51" cy="43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330EBF82" w14:textId="77777777" w:rsidR="0021498E" w:rsidRPr="00C35A0F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  <w:r w:rsidRPr="00C35A0F">
              <w:rPr>
                <w:rFonts w:cstheme="minorHAnsi"/>
                <w:noProof/>
                <w:lang w:val="en-AU" w:eastAsia="en-AU"/>
              </w:rPr>
              <w:t>Authorized</w:t>
            </w:r>
            <w:r>
              <w:rPr>
                <w:rFonts w:cstheme="minorHAnsi"/>
                <w:noProof/>
                <w:lang w:val="en-AU" w:eastAsia="en-AU"/>
              </w:rPr>
              <w:t xml:space="preserve"> r</w:t>
            </w:r>
            <w:r w:rsidRPr="00C35A0F">
              <w:rPr>
                <w:rFonts w:cstheme="minorHAnsi"/>
                <w:noProof/>
                <w:lang w:val="en-AU" w:eastAsia="en-AU"/>
              </w:rPr>
              <w:t>epresentative in the</w:t>
            </w:r>
          </w:p>
          <w:p w14:paraId="57D5A40F" w14:textId="77777777" w:rsidR="0021498E" w:rsidRPr="00C35A0F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  <w:r w:rsidRPr="00C35A0F">
              <w:rPr>
                <w:rFonts w:cstheme="minorHAnsi"/>
                <w:noProof/>
                <w:lang w:val="en-AU" w:eastAsia="en-AU"/>
              </w:rPr>
              <w:t>European</w:t>
            </w:r>
          </w:p>
          <w:p w14:paraId="3A03B861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  <w:r w:rsidRPr="00C35A0F">
              <w:rPr>
                <w:rFonts w:cstheme="minorHAnsi"/>
                <w:noProof/>
                <w:lang w:val="en-AU" w:eastAsia="en-AU"/>
              </w:rPr>
              <w:t>Community</w:t>
            </w:r>
          </w:p>
          <w:p w14:paraId="3BC52E6A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21498E" w14:paraId="3050AAA0" w14:textId="77777777" w:rsidTr="00ED633B">
        <w:trPr>
          <w:trHeight w:val="1343"/>
        </w:trPr>
        <w:tc>
          <w:tcPr>
            <w:tcW w:w="2236" w:type="dxa"/>
          </w:tcPr>
          <w:p w14:paraId="0BBDCC0F" w14:textId="77777777" w:rsidR="0021498E" w:rsidRDefault="0021498E" w:rsidP="00ED633B">
            <w:pPr>
              <w:jc w:val="center"/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 xml:space="preserve"> </w:t>
            </w:r>
          </w:p>
          <w:p w14:paraId="0B4A10BA" w14:textId="77777777" w:rsidR="0021498E" w:rsidRDefault="0021498E" w:rsidP="00ED633B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54140E07" wp14:editId="206B0F7E">
                  <wp:extent cx="763361" cy="4857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17" cy="486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068AB" w14:textId="77777777" w:rsidR="0021498E" w:rsidRPr="00DB2B08" w:rsidRDefault="0021498E" w:rsidP="00ED633B">
            <w:pPr>
              <w:jc w:val="center"/>
              <w:rPr>
                <w:rFonts w:cstheme="minorHAnsi"/>
                <w:lang w:val="en-AU" w:eastAsia="en-AU"/>
              </w:rPr>
            </w:pPr>
          </w:p>
        </w:tc>
        <w:tc>
          <w:tcPr>
            <w:tcW w:w="2237" w:type="dxa"/>
          </w:tcPr>
          <w:p w14:paraId="7A6C2B54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Medical Device</w:t>
            </w:r>
          </w:p>
          <w:p w14:paraId="22C73319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236" w:type="dxa"/>
          </w:tcPr>
          <w:p w14:paraId="4F000A0B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</w:p>
          <w:p w14:paraId="4F8E182B" w14:textId="77777777" w:rsidR="0021498E" w:rsidRPr="00144ACA" w:rsidRDefault="0021498E" w:rsidP="00ED633B">
            <w:pPr>
              <w:jc w:val="center"/>
              <w:rPr>
                <w:rFonts w:cstheme="minorHAnsi"/>
                <w:lang w:val="en-AU" w:eastAsia="en-AU"/>
              </w:rPr>
            </w:pPr>
            <w:r w:rsidRPr="007A41F7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463E0C4C" wp14:editId="556A89F0">
                  <wp:extent cx="628055" cy="572114"/>
                  <wp:effectExtent l="0" t="0" r="63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20" cy="59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1942111A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Importer</w:t>
            </w:r>
          </w:p>
          <w:p w14:paraId="1696C001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21498E" w14:paraId="7831A0AD" w14:textId="77777777" w:rsidTr="00ED633B">
        <w:trPr>
          <w:trHeight w:val="1343"/>
        </w:trPr>
        <w:tc>
          <w:tcPr>
            <w:tcW w:w="2236" w:type="dxa"/>
          </w:tcPr>
          <w:p w14:paraId="21AE81CF" w14:textId="77777777" w:rsidR="0021498E" w:rsidRDefault="0021498E" w:rsidP="00ED633B">
            <w:pPr>
              <w:jc w:val="center"/>
              <w:rPr>
                <w:rFonts w:cstheme="minorHAnsi"/>
                <w:noProof/>
                <w:lang w:val="en-AU" w:eastAsia="en-AU"/>
              </w:rPr>
            </w:pPr>
          </w:p>
          <w:p w14:paraId="3EB6B931" w14:textId="77777777" w:rsidR="0021498E" w:rsidRDefault="0021498E" w:rsidP="00ED633B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733A9D38" wp14:editId="2AAE4FCD">
                  <wp:extent cx="571500" cy="381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B6239" w14:textId="77777777" w:rsidR="0021498E" w:rsidRPr="00DB2B08" w:rsidRDefault="0021498E" w:rsidP="00ED633B">
            <w:pPr>
              <w:jc w:val="center"/>
              <w:rPr>
                <w:rFonts w:cstheme="minorHAnsi"/>
                <w:lang w:val="en-AU" w:eastAsia="en-AU"/>
              </w:rPr>
            </w:pPr>
          </w:p>
        </w:tc>
        <w:tc>
          <w:tcPr>
            <w:tcW w:w="2237" w:type="dxa"/>
          </w:tcPr>
          <w:p w14:paraId="1B23DAE2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  <w:r w:rsidRPr="003956E5">
              <w:rPr>
                <w:rFonts w:cstheme="minorHAnsi"/>
                <w:noProof/>
                <w:lang w:val="en-AU" w:eastAsia="en-AU"/>
              </w:rPr>
              <w:t>Consult instructions</w:t>
            </w:r>
            <w:r>
              <w:rPr>
                <w:rFonts w:cstheme="minorHAnsi"/>
                <w:noProof/>
                <w:lang w:val="en-AU" w:eastAsia="en-AU"/>
              </w:rPr>
              <w:t xml:space="preserve"> f</w:t>
            </w:r>
            <w:r w:rsidRPr="003956E5">
              <w:rPr>
                <w:rFonts w:cstheme="minorHAnsi"/>
                <w:noProof/>
                <w:lang w:val="en-AU" w:eastAsia="en-AU"/>
              </w:rPr>
              <w:t>or use</w:t>
            </w:r>
          </w:p>
          <w:p w14:paraId="4990D018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236" w:type="dxa"/>
          </w:tcPr>
          <w:p w14:paraId="538BF7D8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</w:p>
          <w:p w14:paraId="3BAFEC1E" w14:textId="77777777" w:rsidR="0021498E" w:rsidRPr="00144ACA" w:rsidRDefault="0021498E" w:rsidP="00ED633B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7C383905" wp14:editId="13F074F2">
                  <wp:extent cx="528858" cy="491840"/>
                  <wp:effectExtent l="0" t="0" r="5080" b="0"/>
                  <wp:docPr id="27" name="Picture 27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60" cy="50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6701FBC9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Catalogue number</w:t>
            </w:r>
          </w:p>
          <w:p w14:paraId="52253366" w14:textId="77777777" w:rsidR="0021498E" w:rsidRPr="003956E5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</w:p>
        </w:tc>
      </w:tr>
      <w:tr w:rsidR="0021498E" w14:paraId="0F9019D5" w14:textId="77777777" w:rsidTr="00ED633B">
        <w:trPr>
          <w:trHeight w:val="1343"/>
        </w:trPr>
        <w:tc>
          <w:tcPr>
            <w:tcW w:w="2236" w:type="dxa"/>
          </w:tcPr>
          <w:p w14:paraId="22EDF7C6" w14:textId="77777777" w:rsidR="0021498E" w:rsidRDefault="0021498E" w:rsidP="00ED633B">
            <w:pPr>
              <w:jc w:val="center"/>
              <w:rPr>
                <w:rFonts w:cstheme="minorHAnsi"/>
                <w:noProof/>
                <w:lang w:val="en-AU" w:eastAsia="en-AU"/>
              </w:rPr>
            </w:pPr>
          </w:p>
          <w:p w14:paraId="1E472233" w14:textId="77777777" w:rsidR="0021498E" w:rsidRPr="00DB2B08" w:rsidRDefault="0021498E" w:rsidP="00ED633B">
            <w:pPr>
              <w:jc w:val="center"/>
              <w:rPr>
                <w:rFonts w:cstheme="minorHAnsi"/>
                <w:lang w:val="en-AU" w:eastAsia="en-AU"/>
              </w:rPr>
            </w:pPr>
            <w:r w:rsidRPr="00F04D7B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0AC332C5" wp14:editId="7D7F74A6">
                  <wp:extent cx="523875" cy="418308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01" cy="42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29F7CC01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Date of manufacture</w:t>
            </w:r>
          </w:p>
          <w:p w14:paraId="225A1529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</w:p>
        </w:tc>
        <w:tc>
          <w:tcPr>
            <w:tcW w:w="2236" w:type="dxa"/>
          </w:tcPr>
          <w:p w14:paraId="74EA94B7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</w:p>
          <w:p w14:paraId="665833FA" w14:textId="77777777" w:rsidR="0021498E" w:rsidRPr="00144ACA" w:rsidRDefault="0021498E" w:rsidP="00ED633B">
            <w:pPr>
              <w:jc w:val="center"/>
              <w:rPr>
                <w:rFonts w:cstheme="minorHAnsi"/>
                <w:lang w:val="en-AU" w:eastAsia="en-AU"/>
              </w:rPr>
            </w:pPr>
            <w:r>
              <w:rPr>
                <w:noProof/>
              </w:rPr>
              <w:drawing>
                <wp:inline distT="0" distB="0" distL="0" distR="0" wp14:anchorId="1DAAF047" wp14:editId="41D0A3E4">
                  <wp:extent cx="570611" cy="530670"/>
                  <wp:effectExtent l="0" t="0" r="1270" b="0"/>
                  <wp:docPr id="28" name="Picture 28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57" cy="543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14:paraId="60CEF5A1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  <w:r>
              <w:rPr>
                <w:rFonts w:cstheme="minorHAnsi"/>
                <w:noProof/>
                <w:lang w:val="en-AU" w:eastAsia="en-AU"/>
              </w:rPr>
              <w:t>Batch code</w:t>
            </w:r>
          </w:p>
          <w:p w14:paraId="7EB20C55" w14:textId="77777777" w:rsidR="0021498E" w:rsidRDefault="0021498E" w:rsidP="00ED633B">
            <w:pPr>
              <w:rPr>
                <w:rFonts w:cstheme="minorHAnsi"/>
                <w:noProof/>
                <w:lang w:val="en-AU" w:eastAsia="en-AU"/>
              </w:rPr>
            </w:pPr>
          </w:p>
        </w:tc>
      </w:tr>
    </w:tbl>
    <w:p w14:paraId="16A03DA7" w14:textId="494D445D" w:rsidR="00AA56A0" w:rsidRPr="00F95474" w:rsidRDefault="00AA56A0">
      <w:pPr>
        <w:rPr>
          <w:rFonts w:cstheme="minorHAnsi"/>
        </w:rPr>
      </w:pPr>
      <w:r w:rsidRPr="00F95474">
        <w:rPr>
          <w:rFonts w:cstheme="minorHAnsi"/>
          <w:noProof/>
          <w:lang w:val="en-AU" w:eastAsia="en-AU"/>
        </w:rPr>
        <w:tab/>
      </w:r>
    </w:p>
    <w:sectPr w:rsidR="00AA56A0" w:rsidRPr="00F95474" w:rsidSect="00840809">
      <w:headerReference w:type="default" r:id="rId17"/>
      <w:footerReference w:type="default" r:id="rId18"/>
      <w:pgSz w:w="12240" w:h="15840"/>
      <w:pgMar w:top="720" w:right="6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2543" w14:textId="77777777" w:rsidR="00F843F5" w:rsidRDefault="00F843F5" w:rsidP="00ED22B4">
      <w:r>
        <w:separator/>
      </w:r>
    </w:p>
  </w:endnote>
  <w:endnote w:type="continuationSeparator" w:id="0">
    <w:p w14:paraId="6651D152" w14:textId="77777777" w:rsidR="00F843F5" w:rsidRDefault="00F843F5" w:rsidP="00ED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E243" w14:textId="6B04DDA2" w:rsidR="00ED22B4" w:rsidRDefault="00BC5752">
    <w:pPr>
      <w:pStyle w:val="Footer"/>
    </w:pPr>
    <w:r>
      <w:t>Revision 1</w:t>
    </w:r>
    <w:r>
      <w:tab/>
      <w:t xml:space="preserve">Date: </w:t>
    </w:r>
    <w:r w:rsidR="00852BFD">
      <w:t>14</w:t>
    </w:r>
    <w:r>
      <w:t>/</w:t>
    </w:r>
    <w:r w:rsidR="00852BFD">
      <w:t>06</w:t>
    </w:r>
    <w:r>
      <w:t>/2021</w:t>
    </w:r>
  </w:p>
  <w:p w14:paraId="41C328BD" w14:textId="77777777" w:rsidR="00ED22B4" w:rsidRDefault="00ED2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6D5B" w14:textId="77777777" w:rsidR="00F843F5" w:rsidRDefault="00F843F5" w:rsidP="00ED22B4">
      <w:r>
        <w:separator/>
      </w:r>
    </w:p>
  </w:footnote>
  <w:footnote w:type="continuationSeparator" w:id="0">
    <w:p w14:paraId="40B26278" w14:textId="77777777" w:rsidR="00F843F5" w:rsidRDefault="00F843F5" w:rsidP="00ED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113C" w14:textId="503A5F78" w:rsidR="00A624EF" w:rsidRDefault="00D425CC" w:rsidP="00D425CC">
    <w:pPr>
      <w:pStyle w:val="Header"/>
      <w:jc w:val="center"/>
    </w:pPr>
    <w:r w:rsidRPr="007F7743">
      <w:rPr>
        <w:noProof/>
      </w:rPr>
      <w:drawing>
        <wp:inline distT="0" distB="0" distL="0" distR="0" wp14:anchorId="6A6D64F2" wp14:editId="01C67667">
          <wp:extent cx="1578610" cy="712568"/>
          <wp:effectExtent l="0" t="0" r="2540" b="0"/>
          <wp:docPr id="2" name="Picture 2" descr="Macintosh HD:Users:tsackett:Documents: Faretec PDF2:FareTec Sign 3 in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sackett:Documents: Faretec PDF2:FareTec Sign 3 in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234" cy="717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1DFCB" w14:textId="3104DCC5" w:rsidR="00A624EF" w:rsidRDefault="00A624EF">
    <w:pPr>
      <w:pStyle w:val="Header"/>
    </w:pPr>
  </w:p>
  <w:p w14:paraId="22962D49" w14:textId="76541A70" w:rsidR="00A624EF" w:rsidRDefault="00A624EF">
    <w:pPr>
      <w:pStyle w:val="Header"/>
    </w:pPr>
    <w:r w:rsidRPr="008F252C">
      <w:rPr>
        <w:rFonts w:cstheme="minorHAnsi"/>
      </w:rPr>
      <w:t xml:space="preserve">1610 W Jackson Street   •   </w:t>
    </w:r>
    <w:r w:rsidRPr="00F95474">
      <w:rPr>
        <w:rFonts w:cstheme="minorHAnsi"/>
      </w:rPr>
      <w:t xml:space="preserve">Painesville, Ohio  44077   </w:t>
    </w:r>
    <w:r w:rsidRPr="008F252C">
      <w:rPr>
        <w:rFonts w:cstheme="minorHAnsi"/>
      </w:rPr>
      <w:t>•</w:t>
    </w:r>
    <w:r w:rsidRPr="00F95474">
      <w:rPr>
        <w:rFonts w:cstheme="minorHAnsi"/>
      </w:rPr>
      <w:t xml:space="preserve">   440-350-9510   </w:t>
    </w:r>
    <w:r w:rsidRPr="008F252C">
      <w:rPr>
        <w:rFonts w:cstheme="minorHAnsi"/>
      </w:rPr>
      <w:t>•</w:t>
    </w:r>
    <w:r w:rsidRPr="00F95474">
      <w:rPr>
        <w:rFonts w:cstheme="minorHAnsi"/>
      </w:rPr>
      <w:t xml:space="preserve">   </w:t>
    </w:r>
    <w:hyperlink r:id="rId2" w:history="1">
      <w:r w:rsidRPr="00F95474">
        <w:rPr>
          <w:rStyle w:val="Hyperlink"/>
          <w:rFonts w:cstheme="minorHAnsi"/>
        </w:rPr>
        <w:t>www.faretec.com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4A8D"/>
    <w:multiLevelType w:val="hybridMultilevel"/>
    <w:tmpl w:val="F690AFDC"/>
    <w:lvl w:ilvl="0" w:tplc="DC706CC4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2"/>
    <w:rsid w:val="0006277F"/>
    <w:rsid w:val="00076750"/>
    <w:rsid w:val="00076C8D"/>
    <w:rsid w:val="000B6609"/>
    <w:rsid w:val="000C54E4"/>
    <w:rsid w:val="000C747D"/>
    <w:rsid w:val="00102AC2"/>
    <w:rsid w:val="0012506F"/>
    <w:rsid w:val="001376D0"/>
    <w:rsid w:val="001A147F"/>
    <w:rsid w:val="00211E5E"/>
    <w:rsid w:val="0021498E"/>
    <w:rsid w:val="00234755"/>
    <w:rsid w:val="003B39BD"/>
    <w:rsid w:val="003B5E54"/>
    <w:rsid w:val="003E20EF"/>
    <w:rsid w:val="00412CFE"/>
    <w:rsid w:val="004234D2"/>
    <w:rsid w:val="00486077"/>
    <w:rsid w:val="004B048E"/>
    <w:rsid w:val="004B4F5F"/>
    <w:rsid w:val="004C1A63"/>
    <w:rsid w:val="0055547A"/>
    <w:rsid w:val="00556882"/>
    <w:rsid w:val="00606538"/>
    <w:rsid w:val="006271A0"/>
    <w:rsid w:val="006F09CF"/>
    <w:rsid w:val="006F25CA"/>
    <w:rsid w:val="00840809"/>
    <w:rsid w:val="00846A9F"/>
    <w:rsid w:val="00852BFD"/>
    <w:rsid w:val="00867C4A"/>
    <w:rsid w:val="008722DD"/>
    <w:rsid w:val="00890642"/>
    <w:rsid w:val="008A4000"/>
    <w:rsid w:val="008F252C"/>
    <w:rsid w:val="009B55E3"/>
    <w:rsid w:val="009E65E1"/>
    <w:rsid w:val="00A35824"/>
    <w:rsid w:val="00A56E76"/>
    <w:rsid w:val="00A624EF"/>
    <w:rsid w:val="00AA56A0"/>
    <w:rsid w:val="00AF72F0"/>
    <w:rsid w:val="00B3266C"/>
    <w:rsid w:val="00B3486A"/>
    <w:rsid w:val="00B36E46"/>
    <w:rsid w:val="00BC5752"/>
    <w:rsid w:val="00C53612"/>
    <w:rsid w:val="00D425CC"/>
    <w:rsid w:val="00D52D4A"/>
    <w:rsid w:val="00DB30A3"/>
    <w:rsid w:val="00DC4EEB"/>
    <w:rsid w:val="00DD092F"/>
    <w:rsid w:val="00E15AC6"/>
    <w:rsid w:val="00ED22B4"/>
    <w:rsid w:val="00F25E7E"/>
    <w:rsid w:val="00F843F5"/>
    <w:rsid w:val="00F9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C3E5"/>
  <w15:docId w15:val="{147FF4D2-6458-482D-9A6F-571C862B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A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B4"/>
  </w:style>
  <w:style w:type="paragraph" w:styleId="Footer">
    <w:name w:val="footer"/>
    <w:basedOn w:val="Normal"/>
    <w:link w:val="FooterChar"/>
    <w:uiPriority w:val="99"/>
    <w:unhideWhenUsed/>
    <w:rsid w:val="00ED2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4"/>
  </w:style>
  <w:style w:type="character" w:styleId="CommentReference">
    <w:name w:val="annotation reference"/>
    <w:basedOn w:val="DefaultParagraphFont"/>
    <w:unhideWhenUsed/>
    <w:rsid w:val="0055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47A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47A"/>
    <w:rPr>
      <w:sz w:val="20"/>
      <w:szCs w:val="20"/>
    </w:rPr>
  </w:style>
  <w:style w:type="paragraph" w:customStyle="1" w:styleId="paragraph">
    <w:name w:val="paragraph"/>
    <w:basedOn w:val="Normal"/>
    <w:rsid w:val="00BC5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BC5752"/>
  </w:style>
  <w:style w:type="character" w:customStyle="1" w:styleId="eop">
    <w:name w:val="eop"/>
    <w:basedOn w:val="DefaultParagraphFont"/>
    <w:rsid w:val="00BC5752"/>
  </w:style>
  <w:style w:type="character" w:customStyle="1" w:styleId="contextualspellingandgrammarerror">
    <w:name w:val="contextualspellingandgrammarerror"/>
    <w:basedOn w:val="DefaultParagraphFont"/>
    <w:rsid w:val="00BC57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5E3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5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6609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21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etec.com" TargetMode="External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Sackett</dc:creator>
  <cp:lastModifiedBy>Daniel Albahari</cp:lastModifiedBy>
  <cp:revision>9</cp:revision>
  <dcterms:created xsi:type="dcterms:W3CDTF">2021-05-09T15:24:00Z</dcterms:created>
  <dcterms:modified xsi:type="dcterms:W3CDTF">2021-06-14T10:25:00Z</dcterms:modified>
</cp:coreProperties>
</file>