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B6B1" w14:textId="77777777" w:rsidR="00A60593" w:rsidRPr="00A60593" w:rsidRDefault="00A60593" w:rsidP="00A60593">
      <w:pPr>
        <w:pStyle w:val="HTMLPreformatted"/>
        <w:jc w:val="center"/>
        <w:rPr>
          <w:rStyle w:val="y2iqfc"/>
          <w:rFonts w:asciiTheme="minorHAnsi" w:hAnsiTheme="minorHAnsi"/>
          <w:b/>
          <w:bCs/>
          <w:sz w:val="22"/>
          <w:szCs w:val="22"/>
          <w:lang w:val="nl-NL"/>
        </w:rPr>
      </w:pPr>
      <w:r w:rsidRPr="00A60593">
        <w:rPr>
          <w:rStyle w:val="y2iqfc"/>
          <w:rFonts w:asciiTheme="minorHAnsi" w:hAnsiTheme="minorHAnsi"/>
          <w:b/>
          <w:bCs/>
          <w:sz w:val="22"/>
          <w:szCs w:val="22"/>
          <w:lang w:val="nl-NL"/>
        </w:rPr>
        <w:t>GEBRUIKSAANWIJZING</w:t>
      </w:r>
    </w:p>
    <w:p w14:paraId="53688448" w14:textId="77777777" w:rsidR="00A60593" w:rsidRPr="00A60593" w:rsidRDefault="00A60593" w:rsidP="00A60593">
      <w:pPr>
        <w:pStyle w:val="HTMLPreformatted"/>
        <w:jc w:val="center"/>
        <w:rPr>
          <w:rStyle w:val="y2iqfc"/>
          <w:rFonts w:asciiTheme="minorHAnsi" w:hAnsiTheme="minorHAnsi"/>
          <w:b/>
          <w:bCs/>
          <w:sz w:val="22"/>
          <w:szCs w:val="22"/>
          <w:lang w:val="nl-NL"/>
        </w:rPr>
      </w:pPr>
      <w:r w:rsidRPr="00A60593">
        <w:rPr>
          <w:rStyle w:val="y2iqfc"/>
          <w:rFonts w:asciiTheme="minorHAnsi" w:hAnsiTheme="minorHAnsi"/>
          <w:b/>
          <w:bCs/>
          <w:sz w:val="22"/>
          <w:szCs w:val="22"/>
          <w:lang w:val="nl-NL"/>
        </w:rPr>
        <w:t>CT-6 TRACTIE SPLINT</w:t>
      </w:r>
    </w:p>
    <w:p w14:paraId="6BA7B238"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BEOOGD GEBRUIK: CT-6 LEG TRACTION SPLINT is bedoeld om ondersteuning en tractie te bieden aan mid-schacht femurfracturen tijdens pre-ziekenhuiszorg en patiëntentransport.</w:t>
      </w:r>
    </w:p>
    <w:p w14:paraId="1B6CF60C"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INDICATIES: Mid-schacht femurfracturen.</w:t>
      </w:r>
    </w:p>
    <w:p w14:paraId="3E27ECD2"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BEOOGDE PATINTENGROEP: Volwassenen met schachtfracturen van het dijbeen, waarbij het kniegewricht niet is betrokken.</w:t>
      </w:r>
    </w:p>
    <w:p w14:paraId="1CB5128D"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BEDOELDE GEBRUIKER: Beroepsbeoefenaren in de gezondheidszorg en opgeleid niet-medisch personeel.</w:t>
      </w:r>
    </w:p>
    <w:p w14:paraId="69957207"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INSTRUCTIES:</w:t>
      </w:r>
    </w:p>
    <w:p w14:paraId="25446956"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1. Controleer de bloedsomloop in het been. Distale pols te voet.</w:t>
      </w:r>
    </w:p>
    <w:p w14:paraId="4C89C635"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2. Snijd indien nodig de broekspijp af</w:t>
      </w:r>
    </w:p>
    <w:p w14:paraId="5C85C169"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3. Beoordeel letsel om te bepalen of tractie nodig is. Bepaal het pijnniveau. Vergelijk de lengtes van de benen van de patiënt.</w:t>
      </w:r>
    </w:p>
    <w:p w14:paraId="1259B10A"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4. Haal de spalk uit de zak</w:t>
      </w:r>
    </w:p>
    <w:p w14:paraId="15E98296"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5. Schud de spalk op en neer om de buissecties vast te zetten. Sluit alle niet-gekoppelde buizen handmatig aan.</w:t>
      </w:r>
    </w:p>
    <w:p w14:paraId="3A435F94"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6. Ga naast een ongedeerd been staan. De spalk moet zich net boven de heupkam en 10-15 cm onder de voet van de patiënt uitstrekken.</w:t>
      </w:r>
    </w:p>
    <w:p w14:paraId="45B67540"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7. Voeg zo nodig buissecties toe of verwijder ze voor de juiste maatvoering. Vouw eventuele losgekoppelde buizen langs de spalk.</w:t>
      </w:r>
    </w:p>
    <w:p w14:paraId="03BCF2D8"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8. Zet deze buissecties vast met de zitbeendop.</w:t>
      </w:r>
    </w:p>
    <w:p w14:paraId="02BCECBD"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9. Wikkel de zitbeenband om het been en bevestig de clip aan de dop. Zorg ervoor dat de gesp bovenop zit. Niet onder het been. Trek het losse uiteinde van de gespriem aan.</w:t>
      </w:r>
    </w:p>
    <w:p w14:paraId="24D2BED7"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10. Plaats de voet in de enkelkoppeling. Gebruik het glijdende uiteinde van de voetband om ervoor te zorgen dat de band gelijkmatig aan beide zijden van de enkel is geplaatst. Wikkel het enkelbandje om de enkel en vouw het kleine lipje om om het vast te zetten. Trek de gesp van de voetriem aan om speling te voorkomen.</w:t>
      </w:r>
    </w:p>
    <w:p w14:paraId="43F01014"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11. Pillenlijn om matige spanning toe te passen. Op dit punt moet een minimale hoeveelheid tractie worden uitgeoefend, zodat de spalk in de juiste positie rust.</w:t>
      </w:r>
    </w:p>
    <w:p w14:paraId="6BA5B52A"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12. Til de lijn omhoog in de V-Jam.</w:t>
      </w:r>
    </w:p>
    <w:p w14:paraId="4F240DA9"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13. Wikkel de beenbanden, twee boven de knie en twee eronder. Bedek geen letsel of knie.</w:t>
      </w:r>
    </w:p>
    <w:p w14:paraId="352CDA8C"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14. Pas tractie toe door de spanning opnieuw aan te passen totdat het comfort van de patiënt is bereikt. Til de lijn op en sluit de V-JamJa opnieuw aan</w:t>
      </w:r>
    </w:p>
    <w:p w14:paraId="14C8F1A6" w14:textId="77777777" w:rsidR="00A60593" w:rsidRPr="00A60593" w:rsidRDefault="00A60593" w:rsidP="00A60593">
      <w:pPr>
        <w:pStyle w:val="HTMLPreformatted"/>
        <w:rPr>
          <w:rStyle w:val="y2iqfc"/>
          <w:rFonts w:asciiTheme="minorHAnsi" w:hAnsiTheme="minorHAnsi"/>
          <w:sz w:val="22"/>
          <w:szCs w:val="22"/>
          <w:lang w:val="nl-NL"/>
        </w:rPr>
      </w:pPr>
      <w:r w:rsidRPr="00A60593">
        <w:rPr>
          <w:rStyle w:val="y2iqfc"/>
          <w:rFonts w:asciiTheme="minorHAnsi" w:hAnsiTheme="minorHAnsi"/>
          <w:sz w:val="22"/>
          <w:szCs w:val="22"/>
          <w:lang w:val="nl-NL"/>
        </w:rPr>
        <w:t>15. Stop overtollige lijn onder de beenband</w:t>
      </w:r>
    </w:p>
    <w:p w14:paraId="7BEB1709" w14:textId="77777777" w:rsidR="00A60593" w:rsidRPr="00A60593" w:rsidRDefault="00A60593" w:rsidP="00A60593">
      <w:pPr>
        <w:pStyle w:val="HTMLPreformatted"/>
        <w:rPr>
          <w:rFonts w:asciiTheme="minorHAnsi" w:hAnsiTheme="minorHAnsi"/>
          <w:sz w:val="22"/>
          <w:szCs w:val="22"/>
        </w:rPr>
      </w:pPr>
      <w:r w:rsidRPr="00A60593">
        <w:rPr>
          <w:rStyle w:val="y2iqfc"/>
          <w:rFonts w:asciiTheme="minorHAnsi" w:hAnsiTheme="minorHAnsi"/>
          <w:sz w:val="22"/>
          <w:szCs w:val="22"/>
          <w:lang w:val="nl-NL"/>
        </w:rPr>
        <w:t>OPMERKINGEN: Pas tractie toe totdat het pijnniveau van de patiënt is afgenomen. Pas tractie toe totdat de benen van de patiënt even lang zijn.</w:t>
      </w:r>
    </w:p>
    <w:p w14:paraId="041B3178"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KLINISCHE VOORDELEN:</w:t>
      </w:r>
    </w:p>
    <w:p w14:paraId="22457687"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 Ondersteuning en tractie bieden aan femurfracturen in het midden van de schacht</w:t>
      </w:r>
    </w:p>
    <w:p w14:paraId="5DE0D9C8"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 Vermindert bloedingen en spierspasmen</w:t>
      </w:r>
    </w:p>
    <w:p w14:paraId="160FA51A"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 Voorkomt verdere schade aan de omliggende spieren, weefsels en anatomische structuur</w:t>
      </w:r>
    </w:p>
    <w:p w14:paraId="713D88F2"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 Verlicht de pijn van de patiënt</w:t>
      </w:r>
    </w:p>
    <w:p w14:paraId="60BB9616"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ONDERHOUD EN REINIGING:</w:t>
      </w:r>
    </w:p>
    <w:p w14:paraId="1779B2AB"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 xml:space="preserve">Inspecteer de spalk na elk gebruik. Frame moet vrij zijn van vervuiling. Frame kan worden gereinigd met water en zeep en worden afgedroogd met een wegwerphanddoek. Als de enkelkoppeling, beenriemen of zitbeenriem vuil </w:t>
      </w:r>
      <w:r w:rsidRPr="00A60593">
        <w:rPr>
          <w:rFonts w:eastAsia="Times New Roman" w:cs="Courier New"/>
          <w:lang w:val="nl-NL"/>
        </w:rPr>
        <w:lastRenderedPageBreak/>
        <w:t>zijn of versleten zijn, gebruik ze dan niet opnieuw, ze moeten worden vervangen door nieuwe. Neem voor vervanging contact op met FareTec: +1-440-350-9510.</w:t>
      </w:r>
    </w:p>
    <w:p w14:paraId="32C81A72"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CONTRA-INDICATIES: Tractiespalken mogen niet worden gebruikt voor de nek van femurfracturen, fracturen en/of dislocatie van de knie en voor een gebroken enkel.</w:t>
      </w:r>
    </w:p>
    <w:p w14:paraId="41AB5677"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p>
    <w:p w14:paraId="6520DEE8"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WAARSCHUWINGEN, VOORZORGSMAATREGELEN &amp; BEPERKINGEN: Geen</w:t>
      </w:r>
    </w:p>
    <w:p w14:paraId="391455A7"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nl-NL"/>
        </w:rPr>
      </w:pPr>
      <w:r w:rsidRPr="00A60593">
        <w:rPr>
          <w:rFonts w:eastAsia="Times New Roman" w:cs="Courier New"/>
          <w:lang w:val="nl-NL"/>
        </w:rPr>
        <w:t>VEILIGE VERWIJDERING: Het product moet worden weggegooid in de daarvoor bestemde ruimte zoals aanbevolen door de lokale autoriteiten.</w:t>
      </w:r>
    </w:p>
    <w:p w14:paraId="5C26CCAB" w14:textId="77777777" w:rsidR="00A60593" w:rsidRPr="00A60593" w:rsidRDefault="00A60593" w:rsidP="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A60593">
        <w:rPr>
          <w:rFonts w:eastAsia="Times New Roman" w:cs="Courier New"/>
          <w:lang w:val="nl-NL"/>
        </w:rPr>
        <w:t>KENNISGEVING: Meld elk ernstig incident dat zich heeft voorgedaan en waarvan u vermoedt dat het verband houdt met dit apparaat, aan FareTec of aan de bevoegde autoriteit van de lidstaat waarin u dit product gebruikt. Als u een mogelijk defect vermoedt of een product niet aan uw verwachtingen voldoet, meld dit dan aan het Bedrijf en geef zoveel mogelijk informatie. Telefoonnummer bedrijf</w:t>
      </w:r>
    </w:p>
    <w:p w14:paraId="4A73372B" w14:textId="7B90FBDC" w:rsidR="0025201E" w:rsidRPr="0025201E" w:rsidRDefault="00870296" w:rsidP="00877E08">
      <w:pPr>
        <w:textAlignment w:val="baseline"/>
        <w:rPr>
          <w:rFonts w:eastAsia="Times New Roman" w:cstheme="minorHAnsi"/>
          <w:lang w:bidi="he-IL"/>
        </w:rPr>
      </w:pPr>
      <w:r w:rsidRPr="00870296">
        <w:rPr>
          <w:rFonts w:eastAsia="Times New Roman" w:cstheme="minorHAnsi"/>
          <w:lang w:bidi="he-IL"/>
        </w:rPr>
        <w:t>: +1-440-350-9510</w:t>
      </w:r>
    </w:p>
    <w:p w14:paraId="25615078" w14:textId="77777777" w:rsidR="00AA56A0" w:rsidRPr="00F95474" w:rsidRDefault="00AA56A0" w:rsidP="00A1387F">
      <w:pPr>
        <w:rPr>
          <w:rFonts w:cstheme="minorHAnsi"/>
        </w:rPr>
      </w:pPr>
      <w:r w:rsidRPr="00F95474">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v:textbox>
                <w10:wrap type="square"/>
              </v:shape>
            </w:pict>
          </mc:Fallback>
        </mc:AlternateContent>
      </w:r>
      <w:r w:rsidRPr="00F95474">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F95474" w:rsidRDefault="00AA56A0" w:rsidP="00A1387F">
      <w:pPr>
        <w:rPr>
          <w:rFonts w:cstheme="minorHAnsi"/>
        </w:rPr>
      </w:pPr>
    </w:p>
    <w:p w14:paraId="16A03DA7" w14:textId="57F2F080" w:rsidR="00AA56A0" w:rsidRDefault="00AA56A0" w:rsidP="00A1387F">
      <w:pPr>
        <w:rPr>
          <w:rFonts w:cstheme="minorHAnsi"/>
          <w:noProof/>
          <w:lang w:val="en-AU" w:eastAsia="en-AU"/>
        </w:rPr>
      </w:pPr>
      <w:r w:rsidRPr="00F95474">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1683095C">
                <wp:simplePos x="0" y="0"/>
                <wp:positionH relativeFrom="column">
                  <wp:posOffset>1052830</wp:posOffset>
                </wp:positionH>
                <wp:positionV relativeFrom="paragraph">
                  <wp:posOffset>11430</wp:posOffset>
                </wp:positionV>
                <wp:extent cx="4467225" cy="44577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5770"/>
                        </a:xfrm>
                        <a:prstGeom prst="rect">
                          <a:avLst/>
                        </a:prstGeom>
                        <a:solidFill>
                          <a:srgbClr val="FFFFFF"/>
                        </a:solidFill>
                        <a:ln w="9525">
                          <a:solidFill>
                            <a:srgbClr val="000000"/>
                          </a:solidFill>
                          <a:miter lim="800000"/>
                          <a:headEnd/>
                          <a:tailEnd/>
                        </a:ln>
                      </wps:spPr>
                      <wps:txbx>
                        <w:txbxContent>
                          <w:p w14:paraId="3DA4E585" w14:textId="77777777" w:rsidR="00BE3BA1" w:rsidRPr="000A3ADE" w:rsidRDefault="00BE3BA1" w:rsidP="00BE3BA1">
                            <w:r w:rsidRPr="000A3ADE">
                              <w:t xml:space="preserve">CMC Medical Devices &amp; Drugs S.L., C/ Horacio </w:t>
                            </w:r>
                            <w:proofErr w:type="spellStart"/>
                            <w:r w:rsidRPr="000A3ADE">
                              <w:t>Lengo</w:t>
                            </w:r>
                            <w:proofErr w:type="spellEnd"/>
                            <w:r w:rsidRPr="000A3ADE">
                              <w:t xml:space="preserve"> n18, C.P 29006 Málaga-Spain</w:t>
                            </w:r>
                          </w:p>
                          <w:p w14:paraId="215275C9" w14:textId="35BD63A8" w:rsidR="00AA56A0" w:rsidRPr="00BE3BA1"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2.9pt;margin-top:.9pt;width:351.75pt;height: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">
                <v:textbox>
                  <w:txbxContent>
                    <w:p w14:paraId="3DA4E585" w14:textId="77777777" w:rsidR="00BE3BA1" w:rsidRPr="000A3ADE" w:rsidRDefault="00BE3BA1" w:rsidP="00BE3BA1">
                      <w:r w:rsidRPr="000A3ADE">
                        <w:t xml:space="preserve">CMC Medical Devices &amp; Drugs S.L., C/ Horacio </w:t>
                      </w:r>
                      <w:proofErr w:type="spellStart"/>
                      <w:r w:rsidRPr="000A3ADE">
                        <w:t>Lengo</w:t>
                      </w:r>
                      <w:proofErr w:type="spellEnd"/>
                      <w:r w:rsidRPr="000A3ADE">
                        <w:t xml:space="preserve"> n18, C.P 29006 Málaga-Spain</w:t>
                      </w:r>
                    </w:p>
                    <w:p w14:paraId="215275C9" w14:textId="35BD63A8" w:rsidR="00AA56A0" w:rsidRPr="00BE3BA1" w:rsidRDefault="00AA56A0" w:rsidP="00AA56A0"/>
                  </w:txbxContent>
                </v:textbox>
                <w10:wrap type="square"/>
              </v:shape>
            </w:pict>
          </mc:Fallback>
        </mc:AlternateContent>
      </w:r>
      <w:r w:rsidRPr="00F95474">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F95474">
        <w:rPr>
          <w:rFonts w:cstheme="minorHAnsi"/>
          <w:noProof/>
          <w:lang w:val="en-AU" w:eastAsia="en-AU"/>
        </w:rPr>
        <w:t xml:space="preserve"> </w:t>
      </w:r>
      <w:r w:rsidRPr="00F95474">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F95474">
        <w:rPr>
          <w:rFonts w:cstheme="minorHAnsi"/>
          <w:noProof/>
          <w:lang w:val="en-AU" w:eastAsia="en-AU"/>
        </w:rPr>
        <w:tab/>
      </w:r>
    </w:p>
    <w:p w14:paraId="4EB1E10D" w14:textId="191395A1" w:rsidR="00BE3BA1" w:rsidRDefault="00BE3BA1" w:rsidP="00A1387F">
      <w:pPr>
        <w:rPr>
          <w:rFonts w:cstheme="minorHAnsi"/>
          <w:noProof/>
          <w:lang w:val="en-AU" w:eastAsia="en-AU"/>
        </w:rPr>
      </w:pPr>
    </w:p>
    <w:tbl>
      <w:tblPr>
        <w:tblStyle w:val="TableGrid"/>
        <w:tblW w:w="0" w:type="auto"/>
        <w:tblLook w:val="04A0" w:firstRow="1" w:lastRow="0" w:firstColumn="1" w:lastColumn="0" w:noHBand="0" w:noVBand="1"/>
      </w:tblPr>
      <w:tblGrid>
        <w:gridCol w:w="2137"/>
        <w:gridCol w:w="2138"/>
        <w:gridCol w:w="2137"/>
        <w:gridCol w:w="2138"/>
      </w:tblGrid>
      <w:tr w:rsidR="00BE3BA1" w:rsidRPr="00BE3BA1" w14:paraId="17393651" w14:textId="77777777" w:rsidTr="0025201E">
        <w:trPr>
          <w:trHeight w:val="1161"/>
        </w:trPr>
        <w:tc>
          <w:tcPr>
            <w:tcW w:w="2137" w:type="dxa"/>
          </w:tcPr>
          <w:p w14:paraId="3F76446F" w14:textId="77777777" w:rsidR="00BE3BA1" w:rsidRPr="00BE3BA1" w:rsidRDefault="00BE3BA1" w:rsidP="00BE3BA1">
            <w:pPr>
              <w:rPr>
                <w:rFonts w:cstheme="minorHAnsi"/>
                <w:noProof/>
                <w:lang w:val="en-AU" w:eastAsia="en-AU"/>
              </w:rPr>
            </w:pPr>
          </w:p>
          <w:p w14:paraId="372C3A6E"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7DB6669C" wp14:editId="598B6D39">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138" w:type="dxa"/>
          </w:tcPr>
          <w:p w14:paraId="36CA5B37" w14:textId="77777777" w:rsidR="00BE3BA1" w:rsidRPr="00BE3BA1" w:rsidRDefault="00BE3BA1" w:rsidP="00BE3BA1">
            <w:pPr>
              <w:rPr>
                <w:rFonts w:cstheme="minorHAnsi"/>
                <w:noProof/>
                <w:lang w:val="en-AU" w:eastAsia="en-AU"/>
              </w:rPr>
            </w:pPr>
            <w:r w:rsidRPr="00BE3BA1">
              <w:rPr>
                <w:rFonts w:cstheme="minorHAnsi"/>
                <w:noProof/>
                <w:lang w:val="en-AU" w:eastAsia="en-AU"/>
              </w:rPr>
              <w:t>Manufacturer</w:t>
            </w:r>
          </w:p>
          <w:p w14:paraId="0C1A0AE0" w14:textId="77777777" w:rsidR="00BE3BA1" w:rsidRPr="00BE3BA1" w:rsidRDefault="00BE3BA1" w:rsidP="00BE3BA1">
            <w:pPr>
              <w:rPr>
                <w:rFonts w:cstheme="minorHAnsi"/>
                <w:noProof/>
                <w:lang w:val="en-AU" w:eastAsia="en-AU"/>
              </w:rPr>
            </w:pPr>
          </w:p>
        </w:tc>
        <w:tc>
          <w:tcPr>
            <w:tcW w:w="2137" w:type="dxa"/>
          </w:tcPr>
          <w:p w14:paraId="5E1FE833" w14:textId="77777777" w:rsidR="00BE3BA1" w:rsidRPr="00BE3BA1" w:rsidRDefault="00BE3BA1" w:rsidP="00BE3BA1">
            <w:pPr>
              <w:rPr>
                <w:rFonts w:cstheme="minorHAnsi"/>
                <w:noProof/>
                <w:lang w:val="en-AU" w:eastAsia="en-AU"/>
              </w:rPr>
            </w:pPr>
          </w:p>
          <w:p w14:paraId="091BC88B" w14:textId="77777777" w:rsidR="00BE3BA1" w:rsidRPr="00BE3BA1" w:rsidRDefault="00BE3BA1" w:rsidP="00BE3BA1">
            <w:pPr>
              <w:jc w:val="center"/>
              <w:rPr>
                <w:rFonts w:cstheme="minorHAnsi"/>
                <w:lang w:val="en-AU" w:eastAsia="en-AU"/>
              </w:rPr>
            </w:pPr>
            <w:r w:rsidRPr="00BE3BA1">
              <w:rPr>
                <w:rFonts w:cstheme="minorHAnsi"/>
                <w:noProof/>
                <w:lang w:bidi="he-IL"/>
              </w:rPr>
              <w:drawing>
                <wp:inline distT="0" distB="0" distL="0" distR="0" wp14:anchorId="54EA1BF7" wp14:editId="343FC107">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138" w:type="dxa"/>
          </w:tcPr>
          <w:p w14:paraId="09E93213" w14:textId="77777777" w:rsidR="00BE3BA1" w:rsidRPr="00BE3BA1" w:rsidRDefault="00BE3BA1" w:rsidP="00BE3BA1">
            <w:pPr>
              <w:rPr>
                <w:rFonts w:cstheme="minorHAnsi"/>
                <w:noProof/>
                <w:lang w:val="en-AU" w:eastAsia="en-AU"/>
              </w:rPr>
            </w:pPr>
            <w:r w:rsidRPr="00BE3BA1">
              <w:rPr>
                <w:rFonts w:cstheme="minorHAnsi"/>
                <w:noProof/>
                <w:lang w:val="en-AU" w:eastAsia="en-AU"/>
              </w:rPr>
              <w:t>Authorized representative in the</w:t>
            </w:r>
          </w:p>
          <w:p w14:paraId="5232B182" w14:textId="77777777" w:rsidR="00BE3BA1" w:rsidRPr="00BE3BA1" w:rsidRDefault="00BE3BA1" w:rsidP="00BE3BA1">
            <w:pPr>
              <w:rPr>
                <w:rFonts w:cstheme="minorHAnsi"/>
                <w:noProof/>
                <w:lang w:val="en-AU" w:eastAsia="en-AU"/>
              </w:rPr>
            </w:pPr>
            <w:r w:rsidRPr="00BE3BA1">
              <w:rPr>
                <w:rFonts w:cstheme="minorHAnsi"/>
                <w:noProof/>
                <w:lang w:val="en-AU" w:eastAsia="en-AU"/>
              </w:rPr>
              <w:t>European</w:t>
            </w:r>
          </w:p>
          <w:p w14:paraId="7DD0A150" w14:textId="77777777" w:rsidR="00BE3BA1" w:rsidRPr="00BE3BA1" w:rsidRDefault="00BE3BA1" w:rsidP="00BE3BA1">
            <w:pPr>
              <w:rPr>
                <w:rFonts w:cstheme="minorHAnsi"/>
                <w:noProof/>
                <w:lang w:val="en-AU" w:eastAsia="en-AU"/>
              </w:rPr>
            </w:pPr>
            <w:r w:rsidRPr="00BE3BA1">
              <w:rPr>
                <w:rFonts w:cstheme="minorHAnsi"/>
                <w:noProof/>
                <w:lang w:val="en-AU" w:eastAsia="en-AU"/>
              </w:rPr>
              <w:t>Community</w:t>
            </w:r>
          </w:p>
          <w:p w14:paraId="47C97924" w14:textId="77777777" w:rsidR="00BE3BA1" w:rsidRPr="00BE3BA1" w:rsidRDefault="00BE3BA1" w:rsidP="00BE3BA1">
            <w:pPr>
              <w:rPr>
                <w:rFonts w:cstheme="minorHAnsi"/>
                <w:noProof/>
                <w:lang w:val="en-AU" w:eastAsia="en-AU"/>
              </w:rPr>
            </w:pPr>
          </w:p>
        </w:tc>
      </w:tr>
      <w:tr w:rsidR="00BE3BA1" w:rsidRPr="00BE3BA1" w14:paraId="6654C76B" w14:textId="77777777" w:rsidTr="0025201E">
        <w:trPr>
          <w:trHeight w:val="1161"/>
        </w:trPr>
        <w:tc>
          <w:tcPr>
            <w:tcW w:w="2137" w:type="dxa"/>
          </w:tcPr>
          <w:p w14:paraId="08E58BE8" w14:textId="77777777" w:rsidR="00BE3BA1" w:rsidRPr="00BE3BA1" w:rsidRDefault="00BE3BA1" w:rsidP="00BE3BA1">
            <w:pPr>
              <w:jc w:val="center"/>
              <w:rPr>
                <w:rFonts w:cstheme="minorHAnsi"/>
                <w:noProof/>
                <w:lang w:val="en-AU" w:eastAsia="en-AU"/>
              </w:rPr>
            </w:pPr>
            <w:r w:rsidRPr="00BE3BA1">
              <w:rPr>
                <w:rFonts w:cstheme="minorHAnsi"/>
                <w:noProof/>
                <w:lang w:val="en-AU" w:eastAsia="en-AU"/>
              </w:rPr>
              <w:t xml:space="preserve"> </w:t>
            </w:r>
          </w:p>
          <w:p w14:paraId="69350BE2"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0CDCEB69" wp14:editId="123FC1A9">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3315DDAE" w14:textId="77777777" w:rsidR="00BE3BA1" w:rsidRPr="00BE3BA1" w:rsidRDefault="00BE3BA1" w:rsidP="00BE3BA1">
            <w:pPr>
              <w:jc w:val="center"/>
              <w:rPr>
                <w:rFonts w:cstheme="minorHAnsi"/>
                <w:lang w:val="en-AU" w:eastAsia="en-AU"/>
              </w:rPr>
            </w:pPr>
          </w:p>
        </w:tc>
        <w:tc>
          <w:tcPr>
            <w:tcW w:w="2138" w:type="dxa"/>
          </w:tcPr>
          <w:p w14:paraId="68E62A5C" w14:textId="77777777" w:rsidR="00BE3BA1" w:rsidRPr="00BE3BA1" w:rsidRDefault="00BE3BA1" w:rsidP="00BE3BA1">
            <w:pPr>
              <w:rPr>
                <w:rFonts w:cstheme="minorHAnsi"/>
                <w:noProof/>
                <w:lang w:val="en-AU" w:eastAsia="en-AU"/>
              </w:rPr>
            </w:pPr>
            <w:r w:rsidRPr="00BE3BA1">
              <w:rPr>
                <w:rFonts w:cstheme="minorHAnsi"/>
                <w:noProof/>
                <w:lang w:val="en-AU" w:eastAsia="en-AU"/>
              </w:rPr>
              <w:t>Medical Device</w:t>
            </w:r>
          </w:p>
          <w:p w14:paraId="60F3F691" w14:textId="77777777" w:rsidR="00BE3BA1" w:rsidRPr="00BE3BA1" w:rsidRDefault="00BE3BA1" w:rsidP="00BE3BA1">
            <w:pPr>
              <w:rPr>
                <w:rFonts w:cstheme="minorHAnsi"/>
                <w:noProof/>
                <w:lang w:val="en-AU" w:eastAsia="en-AU"/>
              </w:rPr>
            </w:pPr>
          </w:p>
        </w:tc>
        <w:tc>
          <w:tcPr>
            <w:tcW w:w="2137" w:type="dxa"/>
          </w:tcPr>
          <w:p w14:paraId="0A470F24" w14:textId="77777777" w:rsidR="00BE3BA1" w:rsidRPr="00BE3BA1" w:rsidRDefault="00BE3BA1" w:rsidP="00BE3BA1">
            <w:pPr>
              <w:rPr>
                <w:rFonts w:cstheme="minorHAnsi"/>
                <w:noProof/>
                <w:lang w:val="en-AU" w:eastAsia="en-AU"/>
              </w:rPr>
            </w:pPr>
          </w:p>
          <w:p w14:paraId="631C9238"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32F531CF" wp14:editId="03849BA2">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138" w:type="dxa"/>
          </w:tcPr>
          <w:p w14:paraId="5A226CBF" w14:textId="77777777" w:rsidR="00BE3BA1" w:rsidRPr="00BE3BA1" w:rsidRDefault="00BE3BA1" w:rsidP="00BE3BA1">
            <w:pPr>
              <w:rPr>
                <w:rFonts w:cstheme="minorHAnsi"/>
                <w:noProof/>
                <w:lang w:val="en-AU" w:eastAsia="en-AU"/>
              </w:rPr>
            </w:pPr>
            <w:r w:rsidRPr="00BE3BA1">
              <w:rPr>
                <w:rFonts w:cstheme="minorHAnsi"/>
                <w:noProof/>
                <w:lang w:val="en-AU" w:eastAsia="en-AU"/>
              </w:rPr>
              <w:t>Importer</w:t>
            </w:r>
          </w:p>
          <w:p w14:paraId="75B2C5A2" w14:textId="77777777" w:rsidR="00BE3BA1" w:rsidRPr="00BE3BA1" w:rsidRDefault="00BE3BA1" w:rsidP="00BE3BA1">
            <w:pPr>
              <w:rPr>
                <w:rFonts w:cstheme="minorHAnsi"/>
                <w:noProof/>
                <w:lang w:val="en-AU" w:eastAsia="en-AU"/>
              </w:rPr>
            </w:pPr>
          </w:p>
        </w:tc>
      </w:tr>
      <w:tr w:rsidR="00BE3BA1" w:rsidRPr="00BE3BA1" w14:paraId="659A0CBE" w14:textId="77777777" w:rsidTr="0025201E">
        <w:trPr>
          <w:trHeight w:val="1161"/>
        </w:trPr>
        <w:tc>
          <w:tcPr>
            <w:tcW w:w="2137" w:type="dxa"/>
          </w:tcPr>
          <w:p w14:paraId="5D733F8B" w14:textId="77777777" w:rsidR="00BE3BA1" w:rsidRPr="00BE3BA1" w:rsidRDefault="00BE3BA1" w:rsidP="00BE3BA1">
            <w:pPr>
              <w:jc w:val="center"/>
              <w:rPr>
                <w:rFonts w:cstheme="minorHAnsi"/>
                <w:noProof/>
                <w:lang w:val="en-AU" w:eastAsia="en-AU"/>
              </w:rPr>
            </w:pPr>
          </w:p>
          <w:p w14:paraId="29599203"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15349A1" wp14:editId="433C6CAC">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6C4340BF" w14:textId="77777777" w:rsidR="00BE3BA1" w:rsidRPr="00BE3BA1" w:rsidRDefault="00BE3BA1" w:rsidP="00BE3BA1">
            <w:pPr>
              <w:jc w:val="center"/>
              <w:rPr>
                <w:rFonts w:cstheme="minorHAnsi"/>
                <w:lang w:val="en-AU" w:eastAsia="en-AU"/>
              </w:rPr>
            </w:pPr>
          </w:p>
        </w:tc>
        <w:tc>
          <w:tcPr>
            <w:tcW w:w="2138" w:type="dxa"/>
          </w:tcPr>
          <w:p w14:paraId="6B17E069" w14:textId="77777777" w:rsidR="00BE3BA1" w:rsidRPr="00BE3BA1" w:rsidRDefault="00BE3BA1" w:rsidP="00BE3BA1">
            <w:pPr>
              <w:rPr>
                <w:rFonts w:cstheme="minorHAnsi"/>
                <w:noProof/>
                <w:lang w:val="en-AU" w:eastAsia="en-AU"/>
              </w:rPr>
            </w:pPr>
            <w:r w:rsidRPr="00BE3BA1">
              <w:rPr>
                <w:rFonts w:cstheme="minorHAnsi"/>
                <w:noProof/>
                <w:lang w:val="en-AU" w:eastAsia="en-AU"/>
              </w:rPr>
              <w:t>Consult instructions for use</w:t>
            </w:r>
          </w:p>
          <w:p w14:paraId="0E091442" w14:textId="77777777" w:rsidR="00BE3BA1" w:rsidRPr="00BE3BA1" w:rsidRDefault="00BE3BA1" w:rsidP="00BE3BA1">
            <w:pPr>
              <w:rPr>
                <w:rFonts w:cstheme="minorHAnsi"/>
                <w:noProof/>
                <w:lang w:val="en-AU" w:eastAsia="en-AU"/>
              </w:rPr>
            </w:pPr>
          </w:p>
        </w:tc>
        <w:tc>
          <w:tcPr>
            <w:tcW w:w="2137" w:type="dxa"/>
          </w:tcPr>
          <w:p w14:paraId="0D5AE20D" w14:textId="77777777" w:rsidR="00BE3BA1" w:rsidRPr="00BE3BA1" w:rsidRDefault="00BE3BA1" w:rsidP="00BE3BA1">
            <w:pPr>
              <w:rPr>
                <w:rFonts w:cstheme="minorHAnsi"/>
                <w:noProof/>
                <w:lang w:val="en-AU" w:eastAsia="en-AU"/>
              </w:rPr>
            </w:pPr>
          </w:p>
          <w:p w14:paraId="729EB76E" w14:textId="77777777" w:rsidR="00BE3BA1" w:rsidRPr="00BE3BA1" w:rsidRDefault="00BE3BA1" w:rsidP="00BE3BA1">
            <w:pPr>
              <w:jc w:val="center"/>
              <w:rPr>
                <w:rFonts w:cstheme="minorHAnsi"/>
                <w:lang w:val="en-AU" w:eastAsia="en-AU"/>
              </w:rPr>
            </w:pPr>
            <w:r w:rsidRPr="00BE3BA1">
              <w:rPr>
                <w:noProof/>
              </w:rPr>
              <w:drawing>
                <wp:inline distT="0" distB="0" distL="0" distR="0" wp14:anchorId="0021CB65" wp14:editId="2B848B0E">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138" w:type="dxa"/>
          </w:tcPr>
          <w:p w14:paraId="4DEFE554" w14:textId="77777777" w:rsidR="00BE3BA1" w:rsidRPr="00BE3BA1" w:rsidRDefault="00BE3BA1" w:rsidP="00BE3BA1">
            <w:pPr>
              <w:rPr>
                <w:rFonts w:cstheme="minorHAnsi"/>
                <w:noProof/>
                <w:lang w:val="en-AU" w:eastAsia="en-AU"/>
              </w:rPr>
            </w:pPr>
            <w:r w:rsidRPr="00BE3BA1">
              <w:rPr>
                <w:rFonts w:cstheme="minorHAnsi"/>
                <w:noProof/>
                <w:lang w:val="en-AU" w:eastAsia="en-AU"/>
              </w:rPr>
              <w:t>Catalogue number</w:t>
            </w:r>
          </w:p>
          <w:p w14:paraId="073DB6CA" w14:textId="77777777" w:rsidR="00BE3BA1" w:rsidRPr="00BE3BA1" w:rsidRDefault="00BE3BA1" w:rsidP="00BE3BA1">
            <w:pPr>
              <w:rPr>
                <w:rFonts w:cstheme="minorHAnsi"/>
                <w:noProof/>
                <w:lang w:val="en-AU" w:eastAsia="en-AU"/>
              </w:rPr>
            </w:pPr>
          </w:p>
        </w:tc>
      </w:tr>
      <w:tr w:rsidR="00BE3BA1" w:rsidRPr="00BE3BA1" w14:paraId="7EC59A1E" w14:textId="77777777" w:rsidTr="0025201E">
        <w:trPr>
          <w:trHeight w:val="1161"/>
        </w:trPr>
        <w:tc>
          <w:tcPr>
            <w:tcW w:w="2137" w:type="dxa"/>
          </w:tcPr>
          <w:p w14:paraId="61E7B90D" w14:textId="77777777" w:rsidR="00BE3BA1" w:rsidRPr="00BE3BA1" w:rsidRDefault="00BE3BA1" w:rsidP="00BE3BA1">
            <w:pPr>
              <w:jc w:val="center"/>
              <w:rPr>
                <w:rFonts w:cstheme="minorHAnsi"/>
                <w:noProof/>
                <w:lang w:val="en-AU" w:eastAsia="en-AU"/>
              </w:rPr>
            </w:pPr>
          </w:p>
          <w:p w14:paraId="11B3145F"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6D755C2" wp14:editId="5E01A1C8">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138" w:type="dxa"/>
          </w:tcPr>
          <w:p w14:paraId="1E214287" w14:textId="77777777" w:rsidR="00BE3BA1" w:rsidRPr="00BE3BA1" w:rsidRDefault="00BE3BA1" w:rsidP="00BE3BA1">
            <w:pPr>
              <w:rPr>
                <w:rFonts w:cstheme="minorHAnsi"/>
                <w:noProof/>
                <w:lang w:val="en-AU" w:eastAsia="en-AU"/>
              </w:rPr>
            </w:pPr>
            <w:r w:rsidRPr="00BE3BA1">
              <w:rPr>
                <w:rFonts w:cstheme="minorHAnsi"/>
                <w:noProof/>
                <w:lang w:val="en-AU" w:eastAsia="en-AU"/>
              </w:rPr>
              <w:t>Date of manufacture</w:t>
            </w:r>
          </w:p>
          <w:p w14:paraId="7D01E97D" w14:textId="77777777" w:rsidR="00BE3BA1" w:rsidRPr="00BE3BA1" w:rsidRDefault="00BE3BA1" w:rsidP="00BE3BA1">
            <w:pPr>
              <w:rPr>
                <w:rFonts w:cstheme="minorHAnsi"/>
                <w:noProof/>
                <w:lang w:val="en-AU" w:eastAsia="en-AU"/>
              </w:rPr>
            </w:pPr>
          </w:p>
        </w:tc>
        <w:tc>
          <w:tcPr>
            <w:tcW w:w="2137" w:type="dxa"/>
          </w:tcPr>
          <w:p w14:paraId="4D67664E" w14:textId="77777777" w:rsidR="00BE3BA1" w:rsidRPr="00BE3BA1" w:rsidRDefault="00BE3BA1" w:rsidP="00BE3BA1">
            <w:pPr>
              <w:rPr>
                <w:rFonts w:cstheme="minorHAnsi"/>
                <w:noProof/>
                <w:lang w:val="en-AU" w:eastAsia="en-AU"/>
              </w:rPr>
            </w:pPr>
          </w:p>
          <w:p w14:paraId="12CCAEF5" w14:textId="77777777" w:rsidR="00BE3BA1" w:rsidRPr="00BE3BA1" w:rsidRDefault="00BE3BA1" w:rsidP="00BE3BA1">
            <w:pPr>
              <w:jc w:val="center"/>
              <w:rPr>
                <w:rFonts w:cstheme="minorHAnsi"/>
                <w:lang w:val="en-AU" w:eastAsia="en-AU"/>
              </w:rPr>
            </w:pPr>
            <w:r w:rsidRPr="00BE3BA1">
              <w:rPr>
                <w:noProof/>
              </w:rPr>
              <w:drawing>
                <wp:inline distT="0" distB="0" distL="0" distR="0" wp14:anchorId="7FA8593B" wp14:editId="78743BF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138" w:type="dxa"/>
          </w:tcPr>
          <w:p w14:paraId="5160A0B4" w14:textId="77777777" w:rsidR="00BE3BA1" w:rsidRPr="00BE3BA1" w:rsidRDefault="00BE3BA1" w:rsidP="00BE3BA1">
            <w:pPr>
              <w:rPr>
                <w:rFonts w:cstheme="minorHAnsi"/>
                <w:noProof/>
                <w:lang w:val="en-AU" w:eastAsia="en-AU"/>
              </w:rPr>
            </w:pPr>
            <w:r w:rsidRPr="00BE3BA1">
              <w:rPr>
                <w:rFonts w:cstheme="minorHAnsi"/>
                <w:noProof/>
                <w:lang w:val="en-AU" w:eastAsia="en-AU"/>
              </w:rPr>
              <w:t>Batch code</w:t>
            </w:r>
          </w:p>
          <w:p w14:paraId="0301FFF9" w14:textId="77777777" w:rsidR="00BE3BA1" w:rsidRPr="00BE3BA1" w:rsidRDefault="00BE3BA1" w:rsidP="00BE3BA1">
            <w:pPr>
              <w:rPr>
                <w:rFonts w:cstheme="minorHAnsi"/>
                <w:noProof/>
                <w:lang w:val="en-AU" w:eastAsia="en-AU"/>
              </w:rPr>
            </w:pPr>
          </w:p>
        </w:tc>
      </w:tr>
    </w:tbl>
    <w:p w14:paraId="1F5FF62A" w14:textId="77777777" w:rsidR="00BE3BA1" w:rsidRPr="00F95474" w:rsidRDefault="00BE3BA1" w:rsidP="0025201E">
      <w:pPr>
        <w:rPr>
          <w:rFonts w:cstheme="minorHAnsi"/>
        </w:rPr>
      </w:pPr>
    </w:p>
    <w:sectPr w:rsidR="00BE3BA1"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B916" w14:textId="77777777" w:rsidR="00C62052" w:rsidRDefault="00C62052" w:rsidP="00ED22B4">
      <w:r>
        <w:separator/>
      </w:r>
    </w:p>
  </w:endnote>
  <w:endnote w:type="continuationSeparator" w:id="0">
    <w:p w14:paraId="4C1A6ABE" w14:textId="77777777" w:rsidR="00C62052" w:rsidRDefault="00C62052"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7238"/>
      <w:docPartObj>
        <w:docPartGallery w:val="Page Numbers (Bottom of Page)"/>
        <w:docPartUnique/>
      </w:docPartObj>
    </w:sdtPr>
    <w:sdtEndPr/>
    <w:sdtContent>
      <w:p w14:paraId="7A235FB2" w14:textId="7C2E7825" w:rsidR="009C73E8" w:rsidRDefault="009C73E8">
        <w:pPr>
          <w:pStyle w:val="Footer"/>
          <w:jc w:val="right"/>
        </w:pPr>
        <w:r>
          <w:t xml:space="preserve"> </w:t>
        </w:r>
      </w:p>
    </w:sdtContent>
  </w:sdt>
  <w:p w14:paraId="5B241558" w14:textId="1A55E74A" w:rsidR="00877E08" w:rsidRDefault="00877E08" w:rsidP="00877E08">
    <w:pPr>
      <w:pStyle w:val="Footer"/>
    </w:pPr>
    <w:r>
      <w:t>Revision 1</w:t>
    </w:r>
    <w:r>
      <w:tab/>
      <w:t>Date: 14/6/2021</w:t>
    </w:r>
  </w:p>
  <w:p w14:paraId="41C328BD" w14:textId="1253C111" w:rsidR="00ED22B4" w:rsidRDefault="00877E08" w:rsidP="00877E08">
    <w:pPr>
      <w:pStyle w:val="Footer"/>
      <w:tabs>
        <w:tab w:val="left" w:pos="45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4ADB" w14:textId="77777777" w:rsidR="00C62052" w:rsidRDefault="00C62052" w:rsidP="00ED22B4">
      <w:r>
        <w:separator/>
      </w:r>
    </w:p>
  </w:footnote>
  <w:footnote w:type="continuationSeparator" w:id="0">
    <w:p w14:paraId="7A708BA6" w14:textId="77777777" w:rsidR="00C62052" w:rsidRDefault="00C62052"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090860DF" w:rsidR="002C16DE" w:rsidRDefault="0061754A" w:rsidP="0061754A">
    <w:pPr>
      <w:pStyle w:val="Header"/>
      <w:jc w:val="center"/>
    </w:pPr>
    <w:r>
      <w:rPr>
        <w:noProof/>
      </w:rPr>
      <w:drawing>
        <wp:inline distT="0" distB="0" distL="0" distR="0" wp14:anchorId="2178EE01" wp14:editId="374F6F89">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sidRPr="004D19EC">
      <w:rPr>
        <w:rFonts w:cstheme="minorHAnsi"/>
      </w:rPr>
      <w:t xml:space="preserve">1610 W Jackson Street   •   </w:t>
    </w:r>
    <w:r w:rsidRPr="00F95474">
      <w:rPr>
        <w:rFonts w:cstheme="minorHAnsi"/>
      </w:rPr>
      <w:t xml:space="preserve">Painesville, </w:t>
    </w:r>
    <w:proofErr w:type="gramStart"/>
    <w:r w:rsidRPr="00F95474">
      <w:rPr>
        <w:rFonts w:cstheme="minorHAnsi"/>
      </w:rPr>
      <w:t>Ohio  44077</w:t>
    </w:r>
    <w:proofErr w:type="gramEnd"/>
    <w:r w:rsidRPr="00F95474">
      <w:rPr>
        <w:rFonts w:cstheme="minorHAnsi"/>
      </w:rPr>
      <w:t xml:space="preserve">   </w:t>
    </w:r>
    <w:r w:rsidRPr="004D19EC">
      <w:rPr>
        <w:rFonts w:cstheme="minorHAnsi"/>
      </w:rPr>
      <w:t>•</w:t>
    </w:r>
    <w:r w:rsidRPr="00F95474">
      <w:rPr>
        <w:rFonts w:cstheme="minorHAnsi"/>
      </w:rPr>
      <w:t xml:space="preserve">   440-350-9510   </w:t>
    </w:r>
    <w:r w:rsidRPr="004D19EC">
      <w:rPr>
        <w:rFonts w:cstheme="minorHAnsi"/>
      </w:rPr>
      <w:t>•</w:t>
    </w:r>
    <w:r w:rsidRPr="00F95474">
      <w:rPr>
        <w:rFonts w:cstheme="minorHAnsi"/>
      </w:rPr>
      <w:t xml:space="preserve">   </w:t>
    </w:r>
    <w:hyperlink r:id="rId2" w:history="1">
      <w:r w:rsidRPr="00F95474">
        <w:rPr>
          <w:rStyle w:val="Hyperlink"/>
          <w:rFonts w:cstheme="minorHAnsi"/>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F62"/>
    <w:multiLevelType w:val="hybridMultilevel"/>
    <w:tmpl w:val="2BEC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76C8D"/>
    <w:rsid w:val="00094F01"/>
    <w:rsid w:val="000C54E4"/>
    <w:rsid w:val="000C747D"/>
    <w:rsid w:val="00234755"/>
    <w:rsid w:val="0025201E"/>
    <w:rsid w:val="002635B6"/>
    <w:rsid w:val="00271E8C"/>
    <w:rsid w:val="002A4F19"/>
    <w:rsid w:val="002C16DE"/>
    <w:rsid w:val="0036666E"/>
    <w:rsid w:val="003C25F0"/>
    <w:rsid w:val="00403F28"/>
    <w:rsid w:val="00413F92"/>
    <w:rsid w:val="004234D2"/>
    <w:rsid w:val="00486077"/>
    <w:rsid w:val="004B048E"/>
    <w:rsid w:val="004C1A63"/>
    <w:rsid w:val="004D19EC"/>
    <w:rsid w:val="0055547A"/>
    <w:rsid w:val="005D1FA0"/>
    <w:rsid w:val="00606538"/>
    <w:rsid w:val="0061754A"/>
    <w:rsid w:val="006D686E"/>
    <w:rsid w:val="00840809"/>
    <w:rsid w:val="00846A9F"/>
    <w:rsid w:val="00870296"/>
    <w:rsid w:val="00877E08"/>
    <w:rsid w:val="009658DE"/>
    <w:rsid w:val="009B55E3"/>
    <w:rsid w:val="009C73E8"/>
    <w:rsid w:val="00A04051"/>
    <w:rsid w:val="00A1387F"/>
    <w:rsid w:val="00A4116D"/>
    <w:rsid w:val="00A60593"/>
    <w:rsid w:val="00AA56A0"/>
    <w:rsid w:val="00B36E46"/>
    <w:rsid w:val="00BC5752"/>
    <w:rsid w:val="00BD45A9"/>
    <w:rsid w:val="00BE3BA1"/>
    <w:rsid w:val="00C53612"/>
    <w:rsid w:val="00C62052"/>
    <w:rsid w:val="00CC637E"/>
    <w:rsid w:val="00D4077F"/>
    <w:rsid w:val="00D52D4A"/>
    <w:rsid w:val="00D76111"/>
    <w:rsid w:val="00E15AC6"/>
    <w:rsid w:val="00E94414"/>
    <w:rsid w:val="00ED22B4"/>
    <w:rsid w:val="00ED346C"/>
    <w:rsid w:val="00F83A4E"/>
    <w:rsid w:val="00F95474"/>
    <w:rsid w:val="00FC19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BE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6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0593"/>
    <w:rPr>
      <w:rFonts w:ascii="Courier New" w:eastAsia="Times New Roman" w:hAnsi="Courier New" w:cs="Courier New"/>
      <w:sz w:val="20"/>
      <w:szCs w:val="20"/>
    </w:rPr>
  </w:style>
  <w:style w:type="character" w:customStyle="1" w:styleId="y2iqfc">
    <w:name w:val="y2iqfc"/>
    <w:basedOn w:val="DefaultParagraphFont"/>
    <w:rsid w:val="00A6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72853">
      <w:bodyDiv w:val="1"/>
      <w:marLeft w:val="0"/>
      <w:marRight w:val="0"/>
      <w:marTop w:val="0"/>
      <w:marBottom w:val="0"/>
      <w:divBdr>
        <w:top w:val="none" w:sz="0" w:space="0" w:color="auto"/>
        <w:left w:val="none" w:sz="0" w:space="0" w:color="auto"/>
        <w:bottom w:val="none" w:sz="0" w:space="0" w:color="auto"/>
        <w:right w:val="none" w:sz="0" w:space="0" w:color="auto"/>
      </w:divBdr>
    </w:div>
    <w:div w:id="1537813968">
      <w:bodyDiv w:val="1"/>
      <w:marLeft w:val="0"/>
      <w:marRight w:val="0"/>
      <w:marTop w:val="0"/>
      <w:marBottom w:val="0"/>
      <w:divBdr>
        <w:top w:val="none" w:sz="0" w:space="0" w:color="auto"/>
        <w:left w:val="none" w:sz="0" w:space="0" w:color="auto"/>
        <w:bottom w:val="none" w:sz="0" w:space="0" w:color="auto"/>
        <w:right w:val="none" w:sz="0" w:space="0" w:color="auto"/>
      </w:divBdr>
      <w:divsChild>
        <w:div w:id="117568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Lee Sackett</cp:lastModifiedBy>
  <cp:revision>2</cp:revision>
  <dcterms:created xsi:type="dcterms:W3CDTF">2021-07-14T23:53:00Z</dcterms:created>
  <dcterms:modified xsi:type="dcterms:W3CDTF">2021-07-14T23:53:00Z</dcterms:modified>
</cp:coreProperties>
</file>