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FE2B" w14:textId="77777777" w:rsidR="00BC5752" w:rsidRPr="00F95474" w:rsidRDefault="00BC5752">
      <w:pPr>
        <w:rPr>
          <w:rFonts w:cstheme="minorHAnsi"/>
        </w:rPr>
      </w:pPr>
    </w:p>
    <w:p w14:paraId="606F63C1" w14:textId="2C52BC6E" w:rsidR="00BC5752" w:rsidRPr="00AE5BCB" w:rsidRDefault="00BC5752" w:rsidP="00BC5752">
      <w:pPr>
        <w:jc w:val="center"/>
        <w:rPr>
          <w:rFonts w:cstheme="minorHAnsi"/>
          <w:b/>
          <w:bCs/>
          <w:lang w:val="de-AT"/>
        </w:rPr>
      </w:pPr>
      <w:r>
        <w:rPr>
          <w:rFonts w:cstheme="minorHAnsi"/>
          <w:b/>
          <w:bCs/>
          <w:lang w:val="de"/>
        </w:rPr>
        <w:t>GEBRAUCHSANWEISUNGEN</w:t>
      </w:r>
    </w:p>
    <w:p w14:paraId="7D138F37" w14:textId="765DAEAC" w:rsidR="00BC5752" w:rsidRPr="00AE5BCB" w:rsidRDefault="00076750" w:rsidP="00BC5752">
      <w:pPr>
        <w:jc w:val="center"/>
        <w:rPr>
          <w:rFonts w:cstheme="minorHAnsi"/>
          <w:b/>
          <w:bCs/>
          <w:lang w:val="de-AT"/>
        </w:rPr>
      </w:pPr>
      <w:r>
        <w:rPr>
          <w:rFonts w:cstheme="minorHAnsi"/>
          <w:b/>
          <w:bCs/>
          <w:lang w:val="de"/>
        </w:rPr>
        <w:t>IFAK</w:t>
      </w:r>
    </w:p>
    <w:p w14:paraId="0302FD97" w14:textId="4B026B5F" w:rsidR="00076750" w:rsidRPr="00AE5BCB" w:rsidRDefault="00076750" w:rsidP="00BC5752">
      <w:pPr>
        <w:jc w:val="center"/>
        <w:rPr>
          <w:rFonts w:cstheme="minorHAnsi"/>
          <w:b/>
          <w:bCs/>
          <w:lang w:val="de-AT"/>
        </w:rPr>
      </w:pPr>
      <w:r>
        <w:rPr>
          <w:rFonts w:cstheme="minorHAnsi"/>
          <w:b/>
          <w:bCs/>
          <w:lang w:val="de"/>
        </w:rPr>
        <w:t>Erste-Hilfe-Kasten für Einzelpersonen</w:t>
      </w:r>
    </w:p>
    <w:p w14:paraId="4BF797B9" w14:textId="77777777" w:rsidR="00234755" w:rsidRPr="00AE5BCB" w:rsidRDefault="00234755" w:rsidP="00BC5752">
      <w:pPr>
        <w:pStyle w:val="paragraph"/>
        <w:spacing w:before="0" w:beforeAutospacing="0" w:after="0" w:afterAutospacing="0"/>
        <w:textAlignment w:val="baseline"/>
        <w:rPr>
          <w:rStyle w:val="normaltextrun"/>
          <w:rFonts w:asciiTheme="minorHAnsi" w:hAnsiTheme="minorHAnsi" w:cstheme="minorHAnsi"/>
          <w:sz w:val="22"/>
          <w:szCs w:val="22"/>
          <w:lang w:val="de-AT"/>
        </w:rPr>
      </w:pPr>
    </w:p>
    <w:p w14:paraId="6BF7C4B3" w14:textId="1764C57A" w:rsidR="00BC5752" w:rsidRPr="00154402" w:rsidRDefault="00BC5752" w:rsidP="00BC5752">
      <w:pPr>
        <w:pStyle w:val="paragraph"/>
        <w:spacing w:before="0" w:beforeAutospacing="0" w:after="0" w:afterAutospacing="0"/>
        <w:textAlignment w:val="baseline"/>
        <w:rPr>
          <w:rStyle w:val="eop"/>
          <w:rFonts w:asciiTheme="minorHAnsi" w:hAnsiTheme="minorHAnsi" w:cstheme="minorHAnsi"/>
          <w:sz w:val="22"/>
          <w:szCs w:val="22"/>
          <w:lang w:val="de" w:bidi="ar-SA"/>
        </w:rPr>
      </w:pPr>
      <w:r w:rsidRPr="00154402">
        <w:rPr>
          <w:rStyle w:val="eop"/>
          <w:rFonts w:asciiTheme="minorHAnsi" w:hAnsiTheme="minorHAnsi" w:cstheme="minorHAnsi"/>
          <w:sz w:val="22"/>
          <w:szCs w:val="22"/>
          <w:lang w:val="de" w:bidi="ar-SA"/>
        </w:rPr>
        <w:t>VERWENDUNGSZWECK:</w:t>
      </w:r>
      <w:r>
        <w:rPr>
          <w:rStyle w:val="eop"/>
          <w:rFonts w:asciiTheme="minorHAnsi" w:hAnsiTheme="minorHAnsi" w:cstheme="minorHAnsi"/>
          <w:sz w:val="22"/>
          <w:szCs w:val="22"/>
          <w:lang w:val="de" w:bidi="ar-SA"/>
        </w:rPr>
        <w:t> </w:t>
      </w:r>
    </w:p>
    <w:p w14:paraId="5840E0A9" w14:textId="79274AF6" w:rsidR="00234755" w:rsidRPr="00154402" w:rsidRDefault="000B6609" w:rsidP="00BC5752">
      <w:pPr>
        <w:rPr>
          <w:rStyle w:val="eop"/>
          <w:rFonts w:eastAsia="Times New Roman" w:cstheme="minorHAnsi"/>
          <w:lang w:val="de"/>
        </w:rPr>
      </w:pPr>
      <w:r>
        <w:rPr>
          <w:rStyle w:val="eop"/>
          <w:rFonts w:eastAsia="Times New Roman" w:cstheme="minorHAnsi"/>
          <w:lang w:val="de"/>
        </w:rPr>
        <w:t>Der Erste-Hilfe-Kasten für Einzelpersonen (IFAK) ist ein Paket, das Geräte für die Erste-Hilfe-Unterstützung an einer Einzelperson enthält.</w:t>
      </w:r>
    </w:p>
    <w:p w14:paraId="7EB7478D" w14:textId="585A5814" w:rsidR="00234755" w:rsidRPr="00154402" w:rsidRDefault="00BC5752" w:rsidP="000B6609">
      <w:pPr>
        <w:rPr>
          <w:rStyle w:val="eop"/>
          <w:rFonts w:eastAsia="Times New Roman" w:cstheme="minorHAnsi"/>
          <w:lang w:val="de"/>
        </w:rPr>
      </w:pPr>
      <w:r>
        <w:rPr>
          <w:rStyle w:val="eop"/>
          <w:rFonts w:eastAsia="Times New Roman" w:cstheme="minorHAnsi"/>
          <w:lang w:val="de"/>
        </w:rPr>
        <w:t>VORGESEHENE BENUTZER: Erste-Hilfe-Leistende und andere Personen, die eine Erste-Hilfe-Unterstützung benötigen.</w:t>
      </w:r>
    </w:p>
    <w:p w14:paraId="2DCBCE54" w14:textId="5F7711F3" w:rsidR="00234755" w:rsidRPr="00154402" w:rsidRDefault="00BC5752" w:rsidP="000B6609">
      <w:pPr>
        <w:pStyle w:val="paragraph"/>
        <w:spacing w:before="0" w:beforeAutospacing="0" w:after="0" w:afterAutospacing="0"/>
        <w:textAlignment w:val="baseline"/>
        <w:rPr>
          <w:rStyle w:val="eop"/>
          <w:rFonts w:asciiTheme="minorHAnsi" w:hAnsiTheme="minorHAnsi" w:cstheme="minorHAnsi"/>
          <w:sz w:val="22"/>
          <w:szCs w:val="22"/>
          <w:lang w:val="de" w:bidi="ar-SA"/>
        </w:rPr>
      </w:pPr>
      <w:r w:rsidRPr="00154402">
        <w:rPr>
          <w:rStyle w:val="eop"/>
          <w:rFonts w:asciiTheme="minorHAnsi" w:hAnsiTheme="minorHAnsi" w:cstheme="minorHAnsi"/>
          <w:sz w:val="22"/>
          <w:szCs w:val="22"/>
          <w:lang w:val="de" w:bidi="ar-SA"/>
        </w:rPr>
        <w:t>LEISTUNG: Erzielt den Verwendungszweck durch Anwendung verschiedener Gegenstände aus dem Paket je nach Bedarf des Patienten.</w:t>
      </w:r>
    </w:p>
    <w:p w14:paraId="0F7CDBD1" w14:textId="27E4D246" w:rsidR="00BC5752" w:rsidRPr="00154402" w:rsidRDefault="00BC5752" w:rsidP="0006277F">
      <w:pPr>
        <w:pStyle w:val="paragraph"/>
        <w:spacing w:before="0" w:beforeAutospacing="0" w:after="0" w:afterAutospacing="0"/>
        <w:textAlignment w:val="baseline"/>
        <w:rPr>
          <w:rStyle w:val="eop"/>
          <w:rFonts w:asciiTheme="minorHAnsi" w:hAnsiTheme="minorHAnsi" w:cstheme="minorHAnsi"/>
          <w:sz w:val="22"/>
          <w:szCs w:val="22"/>
          <w:lang w:val="de" w:bidi="ar-SA"/>
        </w:rPr>
      </w:pPr>
      <w:r>
        <w:rPr>
          <w:rStyle w:val="eop"/>
          <w:rFonts w:asciiTheme="minorHAnsi" w:hAnsiTheme="minorHAnsi" w:cstheme="minorHAnsi"/>
          <w:sz w:val="22"/>
          <w:szCs w:val="22"/>
          <w:lang w:val="de" w:bidi="ar-SA"/>
        </w:rPr>
        <w:t> ANWEISUNGEN: </w:t>
      </w:r>
    </w:p>
    <w:p w14:paraId="30937547" w14:textId="77777777" w:rsidR="000B6609" w:rsidRPr="00154402" w:rsidRDefault="000B6609" w:rsidP="000B6609">
      <w:pPr>
        <w:pStyle w:val="ListParagraph"/>
        <w:numPr>
          <w:ilvl w:val="0"/>
          <w:numId w:val="1"/>
        </w:numPr>
        <w:rPr>
          <w:rStyle w:val="eop"/>
          <w:rFonts w:eastAsia="Times New Roman" w:cstheme="minorHAnsi"/>
          <w:lang w:val="de"/>
        </w:rPr>
      </w:pPr>
      <w:r>
        <w:rPr>
          <w:rStyle w:val="eop"/>
          <w:rFonts w:eastAsia="Times New Roman" w:cstheme="minorHAnsi"/>
          <w:lang w:val="de"/>
        </w:rPr>
        <w:t>IFAK aus der Verpackung nehmen</w:t>
      </w:r>
    </w:p>
    <w:p w14:paraId="2406EFA6" w14:textId="6FF7CCFA" w:rsidR="000B6609" w:rsidRPr="00154402" w:rsidRDefault="000B6609" w:rsidP="000B6609">
      <w:pPr>
        <w:pStyle w:val="ListParagraph"/>
        <w:numPr>
          <w:ilvl w:val="0"/>
          <w:numId w:val="1"/>
        </w:numPr>
        <w:rPr>
          <w:rStyle w:val="eop"/>
          <w:rFonts w:eastAsia="Times New Roman" w:cstheme="minorHAnsi"/>
          <w:lang w:val="de"/>
        </w:rPr>
      </w:pPr>
      <w:r>
        <w:rPr>
          <w:rStyle w:val="eop"/>
          <w:rFonts w:eastAsia="Times New Roman" w:cstheme="minorHAnsi"/>
          <w:lang w:val="de"/>
        </w:rPr>
        <w:t>IFAK an den bevorzugten Bereich der Uniform/der Kleidung/des Gurts aufsetzen. Drop-Leg-Style-Einheiten werden oft an den Gurt des Trägers und den Oberteil des Oberschenkels aufgesetzt.  Molle-Gurtband benutzen, um zu ermöglichen, dass IFAK an die Taschen und andere Bereiche der Ausrüstung gesichert wird. Das hängt von der Präferenz des Benutzers ab.</w:t>
      </w:r>
    </w:p>
    <w:p w14:paraId="39247864" w14:textId="77777777" w:rsidR="000B6609" w:rsidRPr="00154402" w:rsidRDefault="000B6609" w:rsidP="000B6609">
      <w:pPr>
        <w:pStyle w:val="ListParagraph"/>
        <w:numPr>
          <w:ilvl w:val="0"/>
          <w:numId w:val="1"/>
        </w:numPr>
        <w:rPr>
          <w:rStyle w:val="eop"/>
          <w:rFonts w:eastAsia="Times New Roman" w:cstheme="minorHAnsi"/>
          <w:lang w:val="de"/>
        </w:rPr>
      </w:pPr>
      <w:r>
        <w:rPr>
          <w:rStyle w:val="eop"/>
          <w:rFonts w:eastAsia="Times New Roman" w:cstheme="minorHAnsi"/>
          <w:lang w:val="de"/>
        </w:rPr>
        <w:t>Überprüfen, dass der Reißverschluss/die Tasche verschlossen ist, wenn sie nicht benutzt oder transportiert wird.</w:t>
      </w:r>
    </w:p>
    <w:p w14:paraId="472B59F0" w14:textId="77777777" w:rsidR="000B6609" w:rsidRPr="00154402" w:rsidRDefault="000B6609" w:rsidP="000B6609">
      <w:pPr>
        <w:pStyle w:val="ListParagraph"/>
        <w:numPr>
          <w:ilvl w:val="0"/>
          <w:numId w:val="1"/>
        </w:numPr>
        <w:rPr>
          <w:rStyle w:val="eop"/>
          <w:rFonts w:eastAsia="Times New Roman" w:cstheme="minorHAnsi"/>
          <w:lang w:val="de"/>
        </w:rPr>
      </w:pPr>
      <w:r>
        <w:rPr>
          <w:rStyle w:val="eop"/>
          <w:rFonts w:eastAsia="Times New Roman" w:cstheme="minorHAnsi"/>
          <w:lang w:val="de"/>
        </w:rPr>
        <w:t>Wenn IFAK-Gegenstände benötigt werden, Reißverschluss öffnen und Gegenstände im IFAK finden. Versuchen, die Gegenstände vor der Benutzung sauber und frei von Verunreinigungen zu halten.</w:t>
      </w:r>
    </w:p>
    <w:p w14:paraId="02151D29" w14:textId="20E5AFD1" w:rsidR="000B6609" w:rsidRPr="00154402" w:rsidRDefault="000B6609" w:rsidP="000B6609">
      <w:pPr>
        <w:pStyle w:val="ListParagraph"/>
        <w:numPr>
          <w:ilvl w:val="0"/>
          <w:numId w:val="1"/>
        </w:numPr>
        <w:rPr>
          <w:rStyle w:val="eop"/>
          <w:rFonts w:eastAsia="Times New Roman" w:cstheme="minorHAnsi"/>
          <w:lang w:val="de"/>
        </w:rPr>
      </w:pPr>
      <w:r>
        <w:rPr>
          <w:rStyle w:val="eop"/>
          <w:rFonts w:eastAsia="Times New Roman" w:cstheme="minorHAnsi"/>
          <w:lang w:val="de"/>
        </w:rPr>
        <w:t>Benötigte Gegenstände auswählen und aus den inneren IFAK-Fächern herausziehen.  Es wird empfohlen, dass sich der Benutzer vor der Benutzung mit jeder IFAK-Komponente vertraut macht.</w:t>
      </w:r>
    </w:p>
    <w:p w14:paraId="7F0C63B1" w14:textId="77777777" w:rsidR="000B6609" w:rsidRPr="00154402" w:rsidRDefault="000B6609" w:rsidP="000B6609">
      <w:pPr>
        <w:pStyle w:val="ListParagraph"/>
        <w:numPr>
          <w:ilvl w:val="0"/>
          <w:numId w:val="1"/>
        </w:numPr>
        <w:rPr>
          <w:rStyle w:val="eop"/>
          <w:rFonts w:eastAsia="Times New Roman" w:cstheme="minorHAnsi"/>
          <w:lang w:val="de"/>
        </w:rPr>
      </w:pPr>
      <w:r>
        <w:rPr>
          <w:rStyle w:val="eop"/>
          <w:rFonts w:eastAsia="Times New Roman" w:cstheme="minorHAnsi"/>
          <w:lang w:val="de"/>
        </w:rPr>
        <w:t>Anweisungen zu den einzelnen Gegenständen anschauen, um Informationen zu den empfohlenen Schritten deren Benutzung zu sehen.</w:t>
      </w:r>
    </w:p>
    <w:p w14:paraId="5E278951" w14:textId="77DFC7FC" w:rsidR="00234755" w:rsidRPr="00154402" w:rsidRDefault="00234755" w:rsidP="0006277F">
      <w:pPr>
        <w:pStyle w:val="paragraph"/>
        <w:spacing w:before="0" w:beforeAutospacing="0" w:after="0" w:afterAutospacing="0"/>
        <w:textAlignment w:val="baseline"/>
        <w:rPr>
          <w:rStyle w:val="eop"/>
          <w:rFonts w:asciiTheme="minorHAnsi" w:hAnsiTheme="minorHAnsi" w:cstheme="minorHAnsi"/>
          <w:sz w:val="22"/>
          <w:szCs w:val="22"/>
          <w:lang w:val="de" w:bidi="ar-SA"/>
        </w:rPr>
      </w:pPr>
    </w:p>
    <w:p w14:paraId="3DBEA4B6" w14:textId="21CE417A" w:rsidR="00606538" w:rsidRPr="00154402" w:rsidRDefault="009B55E3" w:rsidP="000B6609">
      <w:pPr>
        <w:shd w:val="clear" w:color="auto" w:fill="FFFFFF"/>
        <w:rPr>
          <w:rStyle w:val="eop"/>
          <w:rFonts w:eastAsia="Times New Roman" w:cstheme="minorHAnsi"/>
          <w:lang w:val="de"/>
        </w:rPr>
      </w:pPr>
      <w:r>
        <w:rPr>
          <w:rStyle w:val="eop"/>
          <w:rFonts w:eastAsia="Times New Roman" w:cstheme="minorHAnsi"/>
          <w:lang w:val="de"/>
        </w:rPr>
        <w:t>INSTANDHALTUNG UND REINIGUNG: Nach der Benutzung, IFAK mittels Reißverschluss und Gurtbändern schließen.  Benutzte Gegenstände vor der nächsten Benutzung ersetzen.</w:t>
      </w:r>
    </w:p>
    <w:p w14:paraId="766B5C6D" w14:textId="724024BC" w:rsidR="004B4F5F" w:rsidRPr="00154402" w:rsidRDefault="00BC5752" w:rsidP="000B6609">
      <w:pPr>
        <w:pStyle w:val="paragraph"/>
        <w:spacing w:before="0" w:beforeAutospacing="0" w:after="0" w:afterAutospacing="0"/>
        <w:textAlignment w:val="baseline"/>
        <w:rPr>
          <w:rStyle w:val="eop"/>
          <w:rFonts w:asciiTheme="minorHAnsi" w:hAnsiTheme="minorHAnsi" w:cstheme="minorHAnsi"/>
          <w:sz w:val="22"/>
          <w:szCs w:val="22"/>
          <w:lang w:val="de" w:bidi="ar-SA"/>
        </w:rPr>
      </w:pPr>
      <w:r>
        <w:rPr>
          <w:rStyle w:val="eop"/>
          <w:rFonts w:asciiTheme="minorHAnsi" w:hAnsiTheme="minorHAnsi" w:cstheme="minorHAnsi"/>
          <w:sz w:val="22"/>
          <w:szCs w:val="22"/>
          <w:lang w:val="de" w:bidi="ar-SA"/>
        </w:rPr>
        <w:t>KONTRAINDIKATIONEN: Keine</w:t>
      </w:r>
    </w:p>
    <w:p w14:paraId="5926A133" w14:textId="623B64B6" w:rsidR="00234755" w:rsidRPr="00154402" w:rsidRDefault="00D52D4A" w:rsidP="000B6609">
      <w:pPr>
        <w:spacing w:after="200" w:line="276" w:lineRule="auto"/>
        <w:rPr>
          <w:rStyle w:val="eop"/>
          <w:rFonts w:eastAsia="Times New Roman" w:cstheme="minorHAnsi"/>
          <w:lang w:val="de"/>
        </w:rPr>
      </w:pPr>
      <w:r>
        <w:rPr>
          <w:rStyle w:val="eop"/>
          <w:rFonts w:eastAsia="Times New Roman" w:cstheme="minorHAnsi"/>
          <w:lang w:val="de"/>
        </w:rPr>
        <w:t>WARNUNGEN, VORSICHTSMASSNAHMEN UND EINSCHRÄNKUNGEN: Keine</w:t>
      </w:r>
    </w:p>
    <w:p w14:paraId="69DD6738" w14:textId="3AF9C570" w:rsidR="0006277F" w:rsidRPr="00154402" w:rsidRDefault="0006277F" w:rsidP="0006277F">
      <w:pPr>
        <w:spacing w:after="200" w:line="276" w:lineRule="auto"/>
        <w:rPr>
          <w:rStyle w:val="eop"/>
          <w:rFonts w:eastAsia="Times New Roman" w:cstheme="minorHAnsi"/>
          <w:lang w:val="de"/>
        </w:rPr>
      </w:pPr>
      <w:r>
        <w:rPr>
          <w:rStyle w:val="eop"/>
          <w:rFonts w:eastAsia="Times New Roman" w:cstheme="minorHAnsi"/>
          <w:lang w:val="de"/>
        </w:rPr>
        <w:t>SICHERE ENTSORGUNG: Das Produkt sollte in dem dafür vorgesehenen Bereich gemäß den Empfehlungen lokaler Behörden entsorgt werden.</w:t>
      </w:r>
    </w:p>
    <w:p w14:paraId="263048B0" w14:textId="00B29E7F" w:rsidR="0055547A" w:rsidRPr="00154402" w:rsidRDefault="0006277F" w:rsidP="000B6609">
      <w:pPr>
        <w:pStyle w:val="paragraph"/>
        <w:spacing w:before="0" w:beforeAutospacing="0" w:after="0" w:afterAutospacing="0"/>
        <w:textAlignment w:val="baseline"/>
        <w:rPr>
          <w:rStyle w:val="eop"/>
          <w:lang w:val="de" w:bidi="ar-SA"/>
        </w:rPr>
      </w:pPr>
      <w:r>
        <w:rPr>
          <w:rStyle w:val="eop"/>
          <w:rFonts w:asciiTheme="minorHAnsi" w:hAnsiTheme="minorHAnsi" w:cstheme="minorHAnsi"/>
          <w:sz w:val="22"/>
          <w:szCs w:val="22"/>
          <w:lang w:val="de" w:bidi="ar-SA"/>
        </w:rPr>
        <w:t>ANMERKUNG: FareTec oder der zuständigen Behörde des Mitgliedsstaates, in dem das Produkt verwendet wird, von jedem aufgetretenem ernsthaftem Vorfall berichten, für den vermutet wird, dass er mit diesem Gerät in Verbindung steht. Wenn Sie vermuten, dass das Gerät einen potentiellen Mangel hat oder nicht Ihre Erwartungen erfüllt, berichten Sie das bitte dem Unternehmen und geben Sie so viele Informationen wie möglich an. Telefonnummer des Unternehmens: +1-440-350-9510</w:t>
      </w:r>
    </w:p>
    <w:p w14:paraId="2158DED7" w14:textId="75F890BC" w:rsidR="00AA56A0" w:rsidRPr="00F95474" w:rsidRDefault="00AA56A0" w:rsidP="000B6609">
      <w:pPr>
        <w:rPr>
          <w:rFonts w:cstheme="minorHAnsi"/>
        </w:rPr>
      </w:pPr>
      <w:r>
        <w:rPr>
          <w:rFonts w:cstheme="minorHAnsi"/>
          <w:noProof/>
          <w:lang w:bidi="he-IL"/>
        </w:rPr>
        <mc:AlternateContent>
          <mc:Choice Requires="wps">
            <w:drawing>
              <wp:anchor distT="45720" distB="45720" distL="114300" distR="114300" simplePos="0" relativeHeight="251659264" behindDoc="0" locked="0" layoutInCell="1" allowOverlap="1" wp14:anchorId="4270E100" wp14:editId="7F74927D">
                <wp:simplePos x="0" y="0"/>
                <wp:positionH relativeFrom="column">
                  <wp:posOffset>714375</wp:posOffset>
                </wp:positionH>
                <wp:positionV relativeFrom="paragraph">
                  <wp:posOffset>71120</wp:posOffset>
                </wp:positionV>
                <wp:extent cx="5362575" cy="419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19100"/>
                        </a:xfrm>
                        <a:prstGeom prst="rect">
                          <a:avLst/>
                        </a:prstGeom>
                        <a:solidFill>
                          <a:srgbClr val="FFFFFF"/>
                        </a:solidFill>
                        <a:ln w="9525">
                          <a:solidFill>
                            <a:srgbClr val="000000"/>
                          </a:solidFill>
                          <a:miter lim="800000"/>
                          <a:headEnd/>
                          <a:tailEnd/>
                        </a:ln>
                      </wps:spPr>
                      <wps:txbx>
                        <w:txbxContent>
                          <w:p w14:paraId="5D127FB5" w14:textId="77777777" w:rsidR="00AA56A0" w:rsidRDefault="00AA56A0" w:rsidP="00AA56A0">
                            <w:r w:rsidRPr="00AE5BCB">
                              <w:t>FareTec Inc, 1610 West Jackson St, Painesville, OH 44077 USA, (p) 440-350-9510</w:t>
                            </w:r>
                          </w:p>
                          <w:p w14:paraId="29BA3DCA" w14:textId="77777777" w:rsidR="00AA56A0" w:rsidRDefault="00AA56A0" w:rsidP="00AA56A0">
                            <w:r>
                              <w:rPr>
                                <w:lang w:val="de"/>
                              </w:rPr>
                              <w:t>(f) 440-350-9520, www.faretec.com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E100" id="_x0000_t202" coordsize="21600,21600" o:spt="202" path="m,l,21600r21600,l21600,xe">
                <v:stroke joinstyle="miter"/>
                <v:path gradientshapeok="t" o:connecttype="rect"/>
              </v:shapetype>
              <v:shape id="Text Box 2" o:spid="_x0000_s1026" type="#_x0000_t202" style="position:absolute;margin-left:56.25pt;margin-top:5.6pt;width:422.25pt;height: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">
                <v:textbox>
                  <w:txbxContent>
                    <w:p w14:paraId="5D127FB5" w14:textId="77777777" w:rsidR="00AA56A0" w:rsidRDefault="00AA56A0" w:rsidP="00AA56A0">
                      <w:r w:rsidRPr="00AE5BCB">
                        <w:t>FareTec Inc, 1610 West Jackson St, Painesville, OH 44077 USA, (p) 440-350-9510</w:t>
                      </w:r>
                    </w:p>
                    <w:p w14:paraId="29BA3DCA" w14:textId="77777777" w:rsidR="00AA56A0" w:rsidRDefault="00AA56A0" w:rsidP="00AA56A0">
                      <w:r>
                        <w:rPr>
                          <w:lang w:val="de"/>
                        </w:rPr>
                        <w:t>(f) 440-350-9520, www.faretec.com</w:t>
                      </w:r>
                    </w:p>
                  </w:txbxContent>
                </v:textbox>
                <w10:wrap type="square"/>
              </v:shape>
            </w:pict>
          </mc:Fallback>
        </mc:AlternateContent>
      </w:r>
      <w:r>
        <w:rPr>
          <w:rFonts w:cstheme="minorHAnsi"/>
          <w:noProof/>
          <w:lang w:bidi="he-IL"/>
        </w:rPr>
        <w:drawing>
          <wp:inline distT="0" distB="0" distL="0" distR="0" wp14:anchorId="3624CF47" wp14:editId="3D30B906">
            <wp:extent cx="49530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ufactur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5586" cy="495586"/>
                    </a:xfrm>
                    <a:prstGeom prst="rect">
                      <a:avLst/>
                    </a:prstGeom>
                  </pic:spPr>
                </pic:pic>
              </a:graphicData>
            </a:graphic>
          </wp:inline>
        </w:drawing>
      </w:r>
    </w:p>
    <w:p w14:paraId="6969B060" w14:textId="77777777" w:rsidR="00AA56A0" w:rsidRPr="00F95474" w:rsidRDefault="00AA56A0">
      <w:pPr>
        <w:rPr>
          <w:rFonts w:cstheme="minorHAnsi"/>
        </w:rPr>
      </w:pPr>
    </w:p>
    <w:p w14:paraId="7F593454" w14:textId="77777777" w:rsidR="00E12758" w:rsidRDefault="00AA56A0">
      <w:pPr>
        <w:rPr>
          <w:rFonts w:cstheme="minorHAnsi"/>
          <w:noProof/>
          <w:lang w:val="de"/>
        </w:rPr>
      </w:pPr>
      <w:r>
        <w:rPr>
          <w:rFonts w:cstheme="minorHAnsi"/>
          <w:noProof/>
          <w:lang w:bidi="he-IL"/>
        </w:rPr>
        <w:lastRenderedPageBreak/>
        <mc:AlternateContent>
          <mc:Choice Requires="wps">
            <w:drawing>
              <wp:anchor distT="45720" distB="45720" distL="114300" distR="114300" simplePos="0" relativeHeight="251661312" behindDoc="0" locked="0" layoutInCell="1" allowOverlap="1" wp14:anchorId="1136FA0B" wp14:editId="78FC45DA">
                <wp:simplePos x="0" y="0"/>
                <wp:positionH relativeFrom="column">
                  <wp:posOffset>1066800</wp:posOffset>
                </wp:positionH>
                <wp:positionV relativeFrom="paragraph">
                  <wp:posOffset>60960</wp:posOffset>
                </wp:positionV>
                <wp:extent cx="4381500" cy="4953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95300"/>
                        </a:xfrm>
                        <a:prstGeom prst="rect">
                          <a:avLst/>
                        </a:prstGeom>
                        <a:solidFill>
                          <a:srgbClr val="FFFFFF"/>
                        </a:solidFill>
                        <a:ln w="9525">
                          <a:solidFill>
                            <a:srgbClr val="000000"/>
                          </a:solidFill>
                          <a:miter lim="800000"/>
                          <a:headEnd/>
                          <a:tailEnd/>
                        </a:ln>
                      </wps:spPr>
                      <wps:txbx>
                        <w:txbxContent>
                          <w:p w14:paraId="16032AEB" w14:textId="77777777" w:rsidR="00E12758" w:rsidRDefault="00E12758" w:rsidP="00E12758">
                            <w:r>
                              <w:t>CMC Medical Devices &amp; Drugs S.L., C/ Horacio Lengo n18, C.P 29006 Málaga-Spanien</w:t>
                            </w:r>
                          </w:p>
                          <w:p w14:paraId="215275C9" w14:textId="60C238A0" w:rsidR="00AA56A0" w:rsidRPr="00E12758" w:rsidRDefault="00AA56A0" w:rsidP="00AA5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6FA0B" id="_x0000_s1027" type="#_x0000_t202" style="position:absolute;margin-left:84pt;margin-top:4.8pt;width:34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">
                <v:textbox>
                  <w:txbxContent>
                    <w:p w14:paraId="16032AEB" w14:textId="77777777" w:rsidR="00E12758" w:rsidRDefault="00E12758" w:rsidP="00E12758">
                      <w:r>
                        <w:t>CMC Medical Devices &amp; Drugs S.L., C/ Horacio Lengo n18, C.P 29006 Málaga-Spanien</w:t>
                      </w:r>
                    </w:p>
                    <w:p w14:paraId="215275C9" w14:textId="60C238A0" w:rsidR="00AA56A0" w:rsidRPr="00E12758" w:rsidRDefault="00AA56A0" w:rsidP="00AA56A0"/>
                  </w:txbxContent>
                </v:textbox>
                <w10:wrap type="square"/>
              </v:shape>
            </w:pict>
          </mc:Fallback>
        </mc:AlternateContent>
      </w:r>
      <w:r>
        <w:rPr>
          <w:rFonts w:cstheme="minorHAnsi"/>
          <w:noProof/>
          <w:lang w:bidi="he-IL"/>
        </w:rPr>
        <w:drawing>
          <wp:inline distT="0" distB="0" distL="0" distR="0" wp14:anchorId="3108557A" wp14:editId="27C3EA49">
            <wp:extent cx="933450" cy="41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 RE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6851" cy="439172"/>
                    </a:xfrm>
                    <a:prstGeom prst="rect">
                      <a:avLst/>
                    </a:prstGeom>
                  </pic:spPr>
                </pic:pic>
              </a:graphicData>
            </a:graphic>
          </wp:inline>
        </w:drawing>
      </w:r>
      <w:r>
        <w:rPr>
          <w:rFonts w:cstheme="minorHAnsi"/>
          <w:noProof/>
          <w:lang w:val="de"/>
        </w:rPr>
        <w:t xml:space="preserve"> </w:t>
      </w:r>
      <w:r>
        <w:rPr>
          <w:rFonts w:cstheme="minorHAnsi"/>
          <w:noProof/>
          <w:lang w:bidi="he-IL"/>
        </w:rPr>
        <w:drawing>
          <wp:inline distT="0" distB="0" distL="0" distR="0" wp14:anchorId="21FFB881" wp14:editId="6A55F95D">
            <wp:extent cx="590550" cy="4049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3517" cy="420698"/>
                    </a:xfrm>
                    <a:prstGeom prst="rect">
                      <a:avLst/>
                    </a:prstGeom>
                  </pic:spPr>
                </pic:pic>
              </a:graphicData>
            </a:graphic>
          </wp:inline>
        </w:drawing>
      </w:r>
    </w:p>
    <w:p w14:paraId="618514DA" w14:textId="77777777" w:rsidR="00E12758" w:rsidRDefault="00E12758">
      <w:pPr>
        <w:rPr>
          <w:rFonts w:cstheme="minorHAnsi"/>
          <w:noProof/>
          <w:lang w:val="de"/>
        </w:rPr>
      </w:pPr>
    </w:p>
    <w:p w14:paraId="7B597BA2" w14:textId="77777777" w:rsidR="00E12758" w:rsidRDefault="00E12758">
      <w:pPr>
        <w:rPr>
          <w:rFonts w:cstheme="minorHAnsi"/>
          <w:noProof/>
          <w:lang w:val="de"/>
        </w:rPr>
      </w:pPr>
    </w:p>
    <w:p w14:paraId="2EE960C3" w14:textId="77777777" w:rsidR="00E12758" w:rsidRDefault="00E12758">
      <w:pPr>
        <w:rPr>
          <w:rFonts w:cstheme="minorHAnsi"/>
          <w:noProof/>
          <w:lang w:val="de"/>
        </w:rPr>
      </w:pPr>
    </w:p>
    <w:tbl>
      <w:tblPr>
        <w:tblStyle w:val="TableGrid"/>
        <w:tblW w:w="0" w:type="auto"/>
        <w:tblLook w:val="04A0" w:firstRow="1" w:lastRow="0" w:firstColumn="1" w:lastColumn="0" w:noHBand="0" w:noVBand="1"/>
      </w:tblPr>
      <w:tblGrid>
        <w:gridCol w:w="2236"/>
        <w:gridCol w:w="2237"/>
        <w:gridCol w:w="2236"/>
        <w:gridCol w:w="2237"/>
      </w:tblGrid>
      <w:tr w:rsidR="00E12758" w:rsidRPr="00CD30A2" w14:paraId="54033A56" w14:textId="77777777" w:rsidTr="00CB2C06">
        <w:trPr>
          <w:trHeight w:val="1343"/>
        </w:trPr>
        <w:tc>
          <w:tcPr>
            <w:tcW w:w="2236" w:type="dxa"/>
          </w:tcPr>
          <w:p w14:paraId="4A31E2B8" w14:textId="77777777" w:rsidR="00E12758" w:rsidRDefault="00E12758" w:rsidP="00CB2C06">
            <w:pPr>
              <w:rPr>
                <w:rFonts w:cstheme="minorHAnsi"/>
                <w:noProof/>
                <w:lang w:val="en-AU" w:eastAsia="en-AU"/>
              </w:rPr>
            </w:pPr>
          </w:p>
          <w:p w14:paraId="76D38A6D" w14:textId="77777777" w:rsidR="00E12758" w:rsidRPr="00DB2B08" w:rsidRDefault="00E12758" w:rsidP="00CB2C06">
            <w:pPr>
              <w:jc w:val="center"/>
              <w:rPr>
                <w:rFonts w:cstheme="minorHAnsi"/>
                <w:lang w:val="en-AU" w:eastAsia="en-AU"/>
              </w:rPr>
            </w:pPr>
            <w:r>
              <w:rPr>
                <w:rFonts w:cstheme="minorHAnsi"/>
                <w:noProof/>
                <w:lang w:val="en-AU" w:eastAsia="en-AU"/>
              </w:rPr>
              <w:drawing>
                <wp:inline distT="0" distB="0" distL="0" distR="0" wp14:anchorId="68B3F337" wp14:editId="5A867E96">
                  <wp:extent cx="598805" cy="598805"/>
                  <wp:effectExtent l="0" t="0" r="0" b="0"/>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pic:spPr>
                      </pic:pic>
                    </a:graphicData>
                  </a:graphic>
                </wp:inline>
              </w:drawing>
            </w:r>
          </w:p>
        </w:tc>
        <w:tc>
          <w:tcPr>
            <w:tcW w:w="2237" w:type="dxa"/>
          </w:tcPr>
          <w:p w14:paraId="2C7272C8" w14:textId="77777777" w:rsidR="00E12758" w:rsidRDefault="00E12758" w:rsidP="00CB2C06">
            <w:pPr>
              <w:rPr>
                <w:rFonts w:cstheme="minorHAnsi"/>
                <w:noProof/>
                <w:lang w:val="en-AU" w:eastAsia="en-AU"/>
              </w:rPr>
            </w:pPr>
            <w:r w:rsidRPr="00681B6D">
              <w:rPr>
                <w:rFonts w:cstheme="minorHAnsi"/>
                <w:noProof/>
                <w:lang w:val="en-AU" w:eastAsia="en-AU"/>
              </w:rPr>
              <w:t>Hersteller</w:t>
            </w:r>
          </w:p>
        </w:tc>
        <w:tc>
          <w:tcPr>
            <w:tcW w:w="2236" w:type="dxa"/>
          </w:tcPr>
          <w:p w14:paraId="3DAA2DCF" w14:textId="77777777" w:rsidR="00E12758" w:rsidRDefault="00E12758" w:rsidP="00CB2C06">
            <w:pPr>
              <w:rPr>
                <w:rFonts w:cstheme="minorHAnsi"/>
                <w:noProof/>
                <w:lang w:val="en-AU" w:eastAsia="en-AU"/>
              </w:rPr>
            </w:pPr>
          </w:p>
          <w:p w14:paraId="44AC3F28" w14:textId="77777777" w:rsidR="00E12758" w:rsidRPr="00144ACA" w:rsidRDefault="00E12758" w:rsidP="00CB2C06">
            <w:pPr>
              <w:jc w:val="center"/>
              <w:rPr>
                <w:rFonts w:cstheme="minorHAnsi"/>
                <w:lang w:val="en-AU" w:eastAsia="en-AU"/>
              </w:rPr>
            </w:pPr>
            <w:r w:rsidRPr="00F95474">
              <w:rPr>
                <w:rFonts w:cstheme="minorHAnsi"/>
                <w:noProof/>
                <w:lang w:bidi="he-IL"/>
              </w:rPr>
              <w:drawing>
                <wp:inline distT="0" distB="0" distL="0" distR="0" wp14:anchorId="74B33920" wp14:editId="1AA36B67">
                  <wp:extent cx="933450" cy="419660"/>
                  <wp:effectExtent l="0" t="0" r="0" b="0"/>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6851" cy="439172"/>
                          </a:xfrm>
                          <a:prstGeom prst="rect">
                            <a:avLst/>
                          </a:prstGeom>
                        </pic:spPr>
                      </pic:pic>
                    </a:graphicData>
                  </a:graphic>
                </wp:inline>
              </w:drawing>
            </w:r>
          </w:p>
        </w:tc>
        <w:tc>
          <w:tcPr>
            <w:tcW w:w="2237" w:type="dxa"/>
          </w:tcPr>
          <w:p w14:paraId="1EFFBD05" w14:textId="77777777" w:rsidR="00E12758" w:rsidRPr="00872921" w:rsidRDefault="00E12758" w:rsidP="00CB2C06">
            <w:pPr>
              <w:rPr>
                <w:rFonts w:cstheme="minorHAnsi"/>
                <w:noProof/>
                <w:lang w:val="de-AT" w:eastAsia="en-AU"/>
              </w:rPr>
            </w:pPr>
            <w:r w:rsidRPr="00DB2B08">
              <w:rPr>
                <w:rFonts w:cstheme="minorHAnsi"/>
                <w:noProof/>
                <w:lang w:val="de-AT" w:eastAsia="en-AU"/>
              </w:rPr>
              <w:t>Autorisierte Vertretung in der Europäischen Gemeinschaft</w:t>
            </w:r>
          </w:p>
        </w:tc>
      </w:tr>
      <w:tr w:rsidR="00E12758" w14:paraId="16BB8224" w14:textId="77777777" w:rsidTr="00CB2C06">
        <w:trPr>
          <w:trHeight w:val="1343"/>
        </w:trPr>
        <w:tc>
          <w:tcPr>
            <w:tcW w:w="2236" w:type="dxa"/>
          </w:tcPr>
          <w:p w14:paraId="1AE1E710" w14:textId="77777777" w:rsidR="00E12758" w:rsidRPr="00872921" w:rsidRDefault="00E12758" w:rsidP="00CB2C06">
            <w:pPr>
              <w:jc w:val="center"/>
              <w:rPr>
                <w:rFonts w:cstheme="minorHAnsi"/>
                <w:noProof/>
                <w:lang w:val="de-AT" w:eastAsia="en-AU"/>
              </w:rPr>
            </w:pPr>
            <w:r w:rsidRPr="00872921">
              <w:rPr>
                <w:rFonts w:cstheme="minorHAnsi"/>
                <w:noProof/>
                <w:lang w:val="de-AT" w:eastAsia="en-AU"/>
              </w:rPr>
              <w:t xml:space="preserve"> </w:t>
            </w:r>
          </w:p>
          <w:p w14:paraId="676A00EA" w14:textId="77777777" w:rsidR="00E12758" w:rsidRDefault="00E12758" w:rsidP="00CB2C06">
            <w:pPr>
              <w:jc w:val="center"/>
              <w:rPr>
                <w:rFonts w:cstheme="minorHAnsi"/>
                <w:lang w:val="en-AU" w:eastAsia="en-AU"/>
              </w:rPr>
            </w:pPr>
            <w:r w:rsidRPr="00F04D7B">
              <w:rPr>
                <w:rFonts w:cstheme="minorHAnsi"/>
                <w:noProof/>
                <w:lang w:val="en-AU" w:eastAsia="en-AU"/>
              </w:rPr>
              <w:drawing>
                <wp:inline distT="0" distB="0" distL="0" distR="0" wp14:anchorId="0A5BFBC1" wp14:editId="05D5CA79">
                  <wp:extent cx="763361" cy="485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5217" cy="486956"/>
                          </a:xfrm>
                          <a:prstGeom prst="rect">
                            <a:avLst/>
                          </a:prstGeom>
                          <a:noFill/>
                          <a:ln>
                            <a:noFill/>
                          </a:ln>
                        </pic:spPr>
                      </pic:pic>
                    </a:graphicData>
                  </a:graphic>
                </wp:inline>
              </w:drawing>
            </w:r>
          </w:p>
          <w:p w14:paraId="68B2025F" w14:textId="77777777" w:rsidR="00E12758" w:rsidRPr="00DB2B08" w:rsidRDefault="00E12758" w:rsidP="00CB2C06">
            <w:pPr>
              <w:jc w:val="center"/>
              <w:rPr>
                <w:rFonts w:cstheme="minorHAnsi"/>
                <w:lang w:val="en-AU" w:eastAsia="en-AU"/>
              </w:rPr>
            </w:pPr>
          </w:p>
        </w:tc>
        <w:tc>
          <w:tcPr>
            <w:tcW w:w="2237" w:type="dxa"/>
          </w:tcPr>
          <w:p w14:paraId="1011EFE6" w14:textId="77777777" w:rsidR="00E12758" w:rsidRDefault="00E12758" w:rsidP="00CB2C06">
            <w:pPr>
              <w:rPr>
                <w:rFonts w:cstheme="minorHAnsi"/>
                <w:noProof/>
                <w:lang w:val="en-AU" w:eastAsia="en-AU"/>
              </w:rPr>
            </w:pPr>
            <w:r>
              <w:t>Medizinprodukt</w:t>
            </w:r>
          </w:p>
        </w:tc>
        <w:tc>
          <w:tcPr>
            <w:tcW w:w="2236" w:type="dxa"/>
          </w:tcPr>
          <w:p w14:paraId="1B2D07EC" w14:textId="77777777" w:rsidR="00E12758" w:rsidRDefault="00E12758" w:rsidP="00CB2C06">
            <w:pPr>
              <w:rPr>
                <w:rFonts w:cstheme="minorHAnsi"/>
                <w:noProof/>
                <w:lang w:val="en-AU" w:eastAsia="en-AU"/>
              </w:rPr>
            </w:pPr>
          </w:p>
          <w:p w14:paraId="2995B982" w14:textId="77777777" w:rsidR="00E12758" w:rsidRPr="00144ACA" w:rsidRDefault="00E12758" w:rsidP="00CB2C06">
            <w:pPr>
              <w:jc w:val="center"/>
              <w:rPr>
                <w:rFonts w:cstheme="minorHAnsi"/>
                <w:lang w:val="en-AU" w:eastAsia="en-AU"/>
              </w:rPr>
            </w:pPr>
            <w:r w:rsidRPr="007A41F7">
              <w:rPr>
                <w:rFonts w:cstheme="minorHAnsi"/>
                <w:noProof/>
                <w:lang w:val="en-AU" w:eastAsia="en-AU"/>
              </w:rPr>
              <w:drawing>
                <wp:inline distT="0" distB="0" distL="0" distR="0" wp14:anchorId="75C52FA3" wp14:editId="28C17C73">
                  <wp:extent cx="628055" cy="572114"/>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320" cy="592396"/>
                          </a:xfrm>
                          <a:prstGeom prst="rect">
                            <a:avLst/>
                          </a:prstGeom>
                          <a:noFill/>
                          <a:ln>
                            <a:noFill/>
                          </a:ln>
                        </pic:spPr>
                      </pic:pic>
                    </a:graphicData>
                  </a:graphic>
                </wp:inline>
              </w:drawing>
            </w:r>
          </w:p>
        </w:tc>
        <w:tc>
          <w:tcPr>
            <w:tcW w:w="2237" w:type="dxa"/>
          </w:tcPr>
          <w:p w14:paraId="6FFA82B8" w14:textId="77777777" w:rsidR="00E12758" w:rsidRPr="00DB2B08" w:rsidRDefault="00E12758" w:rsidP="00CB2C06">
            <w:pPr>
              <w:pStyle w:val="Default"/>
              <w:rPr>
                <w:rFonts w:asciiTheme="minorHAnsi" w:hAnsiTheme="minorHAnsi" w:cstheme="minorHAnsi"/>
                <w:noProof/>
                <w:color w:val="auto"/>
                <w:sz w:val="22"/>
                <w:szCs w:val="22"/>
                <w:lang w:val="en-AU" w:eastAsia="en-AU"/>
              </w:rPr>
            </w:pPr>
            <w:r w:rsidRPr="00DB2B08">
              <w:rPr>
                <w:rFonts w:asciiTheme="minorHAnsi" w:hAnsiTheme="minorHAnsi" w:cstheme="minorHAnsi"/>
                <w:noProof/>
                <w:color w:val="auto"/>
                <w:sz w:val="22"/>
                <w:szCs w:val="22"/>
                <w:lang w:val="en-AU" w:eastAsia="en-AU"/>
              </w:rPr>
              <w:t>Importeur</w:t>
            </w:r>
          </w:p>
          <w:p w14:paraId="7875CC85" w14:textId="77777777" w:rsidR="00E12758" w:rsidRPr="00DB2B08" w:rsidRDefault="00E12758" w:rsidP="00CB2C06">
            <w:pPr>
              <w:pStyle w:val="Default"/>
              <w:rPr>
                <w:rFonts w:asciiTheme="minorHAnsi" w:hAnsiTheme="minorHAnsi" w:cstheme="minorHAnsi"/>
                <w:noProof/>
                <w:color w:val="auto"/>
                <w:sz w:val="22"/>
                <w:szCs w:val="22"/>
                <w:lang w:val="en-AU" w:eastAsia="en-AU"/>
              </w:rPr>
            </w:pPr>
          </w:p>
          <w:p w14:paraId="5A33F7EF" w14:textId="77777777" w:rsidR="00E12758" w:rsidRDefault="00E12758" w:rsidP="00CB2C06">
            <w:pPr>
              <w:rPr>
                <w:rFonts w:cstheme="minorHAnsi"/>
                <w:noProof/>
                <w:lang w:val="en-AU" w:eastAsia="en-AU"/>
              </w:rPr>
            </w:pPr>
          </w:p>
        </w:tc>
      </w:tr>
      <w:tr w:rsidR="00E12758" w14:paraId="6FAC3F83" w14:textId="77777777" w:rsidTr="00CB2C06">
        <w:trPr>
          <w:trHeight w:val="1343"/>
        </w:trPr>
        <w:tc>
          <w:tcPr>
            <w:tcW w:w="2236" w:type="dxa"/>
          </w:tcPr>
          <w:p w14:paraId="327C4B49" w14:textId="77777777" w:rsidR="00E12758" w:rsidRDefault="00E12758" w:rsidP="00CB2C06">
            <w:pPr>
              <w:jc w:val="center"/>
              <w:rPr>
                <w:rFonts w:cstheme="minorHAnsi"/>
                <w:noProof/>
                <w:lang w:val="en-AU" w:eastAsia="en-AU"/>
              </w:rPr>
            </w:pPr>
          </w:p>
          <w:p w14:paraId="65610FCD" w14:textId="77777777" w:rsidR="00E12758" w:rsidRDefault="00E12758" w:rsidP="00CB2C06">
            <w:pPr>
              <w:jc w:val="center"/>
              <w:rPr>
                <w:rFonts w:cstheme="minorHAnsi"/>
                <w:lang w:val="en-AU" w:eastAsia="en-AU"/>
              </w:rPr>
            </w:pPr>
            <w:r w:rsidRPr="00F04D7B">
              <w:rPr>
                <w:rFonts w:cstheme="minorHAnsi"/>
                <w:noProof/>
                <w:lang w:val="en-AU" w:eastAsia="en-AU"/>
              </w:rPr>
              <w:drawing>
                <wp:inline distT="0" distB="0" distL="0" distR="0" wp14:anchorId="21D0018D" wp14:editId="43D8336C">
                  <wp:extent cx="571500" cy="381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p w14:paraId="57A814F8" w14:textId="77777777" w:rsidR="00E12758" w:rsidRPr="00DB2B08" w:rsidRDefault="00E12758" w:rsidP="00CB2C06">
            <w:pPr>
              <w:jc w:val="center"/>
              <w:rPr>
                <w:rFonts w:cstheme="minorHAnsi"/>
                <w:lang w:val="en-AU" w:eastAsia="en-AU"/>
              </w:rPr>
            </w:pPr>
          </w:p>
        </w:tc>
        <w:tc>
          <w:tcPr>
            <w:tcW w:w="2237" w:type="dxa"/>
          </w:tcPr>
          <w:p w14:paraId="663964B4" w14:textId="77777777" w:rsidR="00E12758" w:rsidRDefault="00E12758" w:rsidP="00CB2C06">
            <w:pPr>
              <w:rPr>
                <w:rFonts w:cstheme="minorHAnsi"/>
                <w:noProof/>
                <w:lang w:val="en-AU" w:eastAsia="en-AU"/>
              </w:rPr>
            </w:pPr>
            <w:r w:rsidRPr="00681B6D">
              <w:rPr>
                <w:rFonts w:cstheme="minorHAnsi"/>
                <w:noProof/>
                <w:lang w:val="en-AU" w:eastAsia="en-AU"/>
              </w:rPr>
              <w:t>Gebrauchsanweisung beachten</w:t>
            </w:r>
          </w:p>
        </w:tc>
        <w:tc>
          <w:tcPr>
            <w:tcW w:w="2236" w:type="dxa"/>
          </w:tcPr>
          <w:p w14:paraId="42D93BD6" w14:textId="77777777" w:rsidR="00E12758" w:rsidRDefault="00E12758" w:rsidP="00CB2C06">
            <w:pPr>
              <w:rPr>
                <w:rFonts w:cstheme="minorHAnsi"/>
                <w:noProof/>
                <w:lang w:val="en-AU" w:eastAsia="en-AU"/>
              </w:rPr>
            </w:pPr>
          </w:p>
          <w:p w14:paraId="22D9508B" w14:textId="77777777" w:rsidR="00E12758" w:rsidRPr="00144ACA" w:rsidRDefault="00E12758" w:rsidP="00CB2C06">
            <w:pPr>
              <w:jc w:val="center"/>
              <w:rPr>
                <w:rFonts w:cstheme="minorHAnsi"/>
                <w:lang w:val="en-AU" w:eastAsia="en-AU"/>
              </w:rPr>
            </w:pPr>
            <w:r>
              <w:rPr>
                <w:noProof/>
              </w:rPr>
              <w:drawing>
                <wp:inline distT="0" distB="0" distL="0" distR="0" wp14:anchorId="58398EB9" wp14:editId="33253CE7">
                  <wp:extent cx="528858" cy="491840"/>
                  <wp:effectExtent l="0" t="0" r="5080" b="0"/>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160" cy="505140"/>
                          </a:xfrm>
                          <a:prstGeom prst="rect">
                            <a:avLst/>
                          </a:prstGeom>
                          <a:noFill/>
                          <a:ln>
                            <a:noFill/>
                          </a:ln>
                        </pic:spPr>
                      </pic:pic>
                    </a:graphicData>
                  </a:graphic>
                </wp:inline>
              </w:drawing>
            </w:r>
          </w:p>
        </w:tc>
        <w:tc>
          <w:tcPr>
            <w:tcW w:w="2237" w:type="dxa"/>
          </w:tcPr>
          <w:p w14:paraId="05F3A922" w14:textId="77777777" w:rsidR="00E12758" w:rsidRPr="003956E5" w:rsidRDefault="00E12758" w:rsidP="00CB2C06">
            <w:pPr>
              <w:rPr>
                <w:rFonts w:cstheme="minorHAnsi"/>
                <w:noProof/>
                <w:lang w:val="en-AU" w:eastAsia="en-AU"/>
              </w:rPr>
            </w:pPr>
            <w:r w:rsidRPr="00B70B67">
              <w:rPr>
                <w:rFonts w:cstheme="minorHAnsi"/>
                <w:noProof/>
                <w:lang w:val="en-AU" w:eastAsia="en-AU"/>
              </w:rPr>
              <w:t>Bestellnummer</w:t>
            </w:r>
          </w:p>
        </w:tc>
      </w:tr>
      <w:tr w:rsidR="00E12758" w14:paraId="3585CA70" w14:textId="77777777" w:rsidTr="00CB2C06">
        <w:trPr>
          <w:trHeight w:val="1343"/>
        </w:trPr>
        <w:tc>
          <w:tcPr>
            <w:tcW w:w="2236" w:type="dxa"/>
          </w:tcPr>
          <w:p w14:paraId="3E0D6D57" w14:textId="77777777" w:rsidR="00E12758" w:rsidRDefault="00E12758" w:rsidP="00CB2C06">
            <w:pPr>
              <w:jc w:val="center"/>
              <w:rPr>
                <w:rFonts w:cstheme="minorHAnsi"/>
                <w:noProof/>
                <w:lang w:val="en-AU" w:eastAsia="en-AU"/>
              </w:rPr>
            </w:pPr>
          </w:p>
          <w:p w14:paraId="24287A0C" w14:textId="77777777" w:rsidR="00E12758" w:rsidRPr="00DB2B08" w:rsidRDefault="00E12758" w:rsidP="00CB2C06">
            <w:pPr>
              <w:jc w:val="center"/>
              <w:rPr>
                <w:rFonts w:cstheme="minorHAnsi"/>
                <w:lang w:val="en-AU" w:eastAsia="en-AU"/>
              </w:rPr>
            </w:pPr>
            <w:r w:rsidRPr="00F04D7B">
              <w:rPr>
                <w:rFonts w:cstheme="minorHAnsi"/>
                <w:noProof/>
                <w:lang w:val="en-AU" w:eastAsia="en-AU"/>
              </w:rPr>
              <w:drawing>
                <wp:inline distT="0" distB="0" distL="0" distR="0" wp14:anchorId="369E40C3" wp14:editId="70274052">
                  <wp:extent cx="523875" cy="418308"/>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301" cy="425835"/>
                          </a:xfrm>
                          <a:prstGeom prst="rect">
                            <a:avLst/>
                          </a:prstGeom>
                          <a:noFill/>
                          <a:ln>
                            <a:noFill/>
                          </a:ln>
                        </pic:spPr>
                      </pic:pic>
                    </a:graphicData>
                  </a:graphic>
                </wp:inline>
              </w:drawing>
            </w:r>
          </w:p>
        </w:tc>
        <w:tc>
          <w:tcPr>
            <w:tcW w:w="2237" w:type="dxa"/>
          </w:tcPr>
          <w:p w14:paraId="3FDEF73A" w14:textId="77777777" w:rsidR="00E12758" w:rsidRDefault="00E12758" w:rsidP="00CB2C06">
            <w:pPr>
              <w:rPr>
                <w:rFonts w:cstheme="minorHAnsi"/>
                <w:noProof/>
                <w:lang w:val="en-AU" w:eastAsia="en-AU"/>
              </w:rPr>
            </w:pPr>
            <w:r w:rsidRPr="00681B6D">
              <w:rPr>
                <w:rFonts w:cstheme="minorHAnsi"/>
                <w:noProof/>
                <w:lang w:val="en-AU" w:eastAsia="en-AU"/>
              </w:rPr>
              <w:t>Herstellungsdatum</w:t>
            </w:r>
          </w:p>
          <w:p w14:paraId="67BF2FE1" w14:textId="77777777" w:rsidR="00E12758" w:rsidRDefault="00E12758" w:rsidP="00CB2C06">
            <w:pPr>
              <w:rPr>
                <w:rFonts w:cstheme="minorHAnsi"/>
                <w:noProof/>
                <w:lang w:val="en-AU" w:eastAsia="en-AU"/>
              </w:rPr>
            </w:pPr>
          </w:p>
        </w:tc>
        <w:tc>
          <w:tcPr>
            <w:tcW w:w="2236" w:type="dxa"/>
          </w:tcPr>
          <w:p w14:paraId="2C9CB357" w14:textId="77777777" w:rsidR="00E12758" w:rsidRDefault="00E12758" w:rsidP="00CB2C06">
            <w:pPr>
              <w:rPr>
                <w:rFonts w:cstheme="minorHAnsi"/>
                <w:noProof/>
                <w:lang w:val="en-AU" w:eastAsia="en-AU"/>
              </w:rPr>
            </w:pPr>
          </w:p>
          <w:p w14:paraId="1298D9F7" w14:textId="77777777" w:rsidR="00E12758" w:rsidRPr="00144ACA" w:rsidRDefault="00E12758" w:rsidP="00CB2C06">
            <w:pPr>
              <w:jc w:val="center"/>
              <w:rPr>
                <w:rFonts w:cstheme="minorHAnsi"/>
                <w:lang w:val="en-AU" w:eastAsia="en-AU"/>
              </w:rPr>
            </w:pPr>
            <w:r>
              <w:rPr>
                <w:noProof/>
              </w:rPr>
              <w:drawing>
                <wp:inline distT="0" distB="0" distL="0" distR="0" wp14:anchorId="2CDB6E92" wp14:editId="792D965A">
                  <wp:extent cx="570611" cy="530670"/>
                  <wp:effectExtent l="0" t="0" r="1270" b="0"/>
                  <wp:docPr id="28" name="Picture 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57" cy="543361"/>
                          </a:xfrm>
                          <a:prstGeom prst="rect">
                            <a:avLst/>
                          </a:prstGeom>
                          <a:noFill/>
                          <a:ln>
                            <a:noFill/>
                          </a:ln>
                        </pic:spPr>
                      </pic:pic>
                    </a:graphicData>
                  </a:graphic>
                </wp:inline>
              </w:drawing>
            </w:r>
          </w:p>
        </w:tc>
        <w:tc>
          <w:tcPr>
            <w:tcW w:w="2237" w:type="dxa"/>
          </w:tcPr>
          <w:p w14:paraId="0CEE858B" w14:textId="77777777" w:rsidR="00E12758" w:rsidRDefault="00E12758" w:rsidP="00CB2C06">
            <w:pPr>
              <w:rPr>
                <w:rFonts w:cstheme="minorHAnsi"/>
                <w:noProof/>
                <w:lang w:val="en-AU" w:eastAsia="en-AU"/>
              </w:rPr>
            </w:pPr>
            <w:r w:rsidRPr="00681B6D">
              <w:rPr>
                <w:rFonts w:cstheme="minorHAnsi"/>
                <w:noProof/>
                <w:lang w:val="en-AU" w:eastAsia="en-AU"/>
              </w:rPr>
              <w:t>Chargencode</w:t>
            </w:r>
          </w:p>
        </w:tc>
      </w:tr>
    </w:tbl>
    <w:p w14:paraId="16A03DA7" w14:textId="32E8FAC7" w:rsidR="00AA56A0" w:rsidRPr="00E12758" w:rsidRDefault="00AA56A0">
      <w:pPr>
        <w:rPr>
          <w:rFonts w:cstheme="minorHAnsi"/>
          <w:noProof/>
          <w:lang w:val="de"/>
        </w:rPr>
      </w:pPr>
      <w:r>
        <w:rPr>
          <w:rFonts w:cstheme="minorHAnsi"/>
          <w:noProof/>
          <w:lang w:val="de"/>
        </w:rPr>
        <w:tab/>
      </w:r>
    </w:p>
    <w:sectPr w:rsidR="00AA56A0" w:rsidRPr="00E12758" w:rsidSect="00840809">
      <w:headerReference w:type="even" r:id="rId17"/>
      <w:headerReference w:type="default" r:id="rId18"/>
      <w:footerReference w:type="even" r:id="rId19"/>
      <w:footerReference w:type="default" r:id="rId20"/>
      <w:headerReference w:type="first" r:id="rId21"/>
      <w:footerReference w:type="first" r:id="rId22"/>
      <w:pgSz w:w="12240" w:h="15840"/>
      <w:pgMar w:top="720" w:right="63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B53C" w14:textId="77777777" w:rsidR="009146AD" w:rsidRDefault="009146AD" w:rsidP="00ED22B4">
      <w:r>
        <w:separator/>
      </w:r>
    </w:p>
  </w:endnote>
  <w:endnote w:type="continuationSeparator" w:id="0">
    <w:p w14:paraId="148FE6DA" w14:textId="77777777" w:rsidR="009146AD" w:rsidRDefault="009146AD" w:rsidP="00ED2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D320" w14:textId="77777777" w:rsidR="006951E8" w:rsidRDefault="00695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E243" w14:textId="37A2D7C7" w:rsidR="00ED22B4" w:rsidRDefault="006951E8">
    <w:pPr>
      <w:pStyle w:val="Footer"/>
    </w:pPr>
    <w:r>
      <w:tab/>
    </w:r>
    <w:r>
      <w:tab/>
      <w:t>IF_IFv.1_GER_20210614</w:t>
    </w:r>
  </w:p>
  <w:p w14:paraId="41C328BD" w14:textId="77777777" w:rsidR="00ED22B4" w:rsidRDefault="00ED2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4E42" w14:textId="77777777" w:rsidR="006951E8" w:rsidRDefault="00695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79BA" w14:textId="77777777" w:rsidR="009146AD" w:rsidRDefault="009146AD" w:rsidP="00ED22B4">
      <w:r>
        <w:separator/>
      </w:r>
    </w:p>
  </w:footnote>
  <w:footnote w:type="continuationSeparator" w:id="0">
    <w:p w14:paraId="65890F57" w14:textId="77777777" w:rsidR="009146AD" w:rsidRDefault="009146AD" w:rsidP="00ED2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4109" w14:textId="77777777" w:rsidR="006951E8" w:rsidRDefault="00695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113C" w14:textId="73FCB5FD" w:rsidR="00A624EF" w:rsidRDefault="00AE5BCB" w:rsidP="00AE5BCB">
    <w:pPr>
      <w:pStyle w:val="Header"/>
      <w:jc w:val="center"/>
    </w:pPr>
    <w:r w:rsidRPr="007F7743">
      <w:rPr>
        <w:noProof/>
      </w:rPr>
      <w:drawing>
        <wp:inline distT="0" distB="0" distL="0" distR="0" wp14:anchorId="40DE9888" wp14:editId="368E695B">
          <wp:extent cx="1578610" cy="712568"/>
          <wp:effectExtent l="0" t="0" r="2540" b="0"/>
          <wp:docPr id="2" name="Picture 2" descr="Macintosh HD:Users:tsackett:Documents: Faretec PDF2:FareTec Sign 3 i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sackett:Documents: Faretec PDF2:FareTec Sign 3 in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234" cy="717364"/>
                  </a:xfrm>
                  <a:prstGeom prst="rect">
                    <a:avLst/>
                  </a:prstGeom>
                  <a:noFill/>
                  <a:ln>
                    <a:noFill/>
                  </a:ln>
                </pic:spPr>
              </pic:pic>
            </a:graphicData>
          </a:graphic>
        </wp:inline>
      </w:drawing>
    </w:r>
  </w:p>
  <w:p w14:paraId="0A31DFCB" w14:textId="3104DCC5" w:rsidR="00A624EF" w:rsidRDefault="00A624EF">
    <w:pPr>
      <w:pStyle w:val="Header"/>
    </w:pPr>
  </w:p>
  <w:p w14:paraId="22962D49" w14:textId="76541A70" w:rsidR="00A624EF" w:rsidRDefault="00A624EF">
    <w:pPr>
      <w:pStyle w:val="Header"/>
    </w:pPr>
    <w:r w:rsidRPr="00AE5BCB">
      <w:rPr>
        <w:rFonts w:cstheme="minorHAnsi"/>
      </w:rPr>
      <w:t xml:space="preserve">1610 W Jackson Street   •   Painesville, Ohio  44077   •   440-350-9510   •   </w:t>
    </w:r>
    <w:hyperlink r:id="rId2" w:history="1">
      <w:r w:rsidRPr="00AE5BCB">
        <w:rPr>
          <w:rStyle w:val="Hyperlink"/>
          <w:rFonts w:cstheme="minorHAnsi"/>
        </w:rPr>
        <w:t>www.faretec.com</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6F73" w14:textId="77777777" w:rsidR="006951E8" w:rsidRDefault="00695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84A8D"/>
    <w:multiLevelType w:val="hybridMultilevel"/>
    <w:tmpl w:val="F690AFDC"/>
    <w:lvl w:ilvl="0" w:tplc="DC706C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7647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D2"/>
    <w:rsid w:val="0006277F"/>
    <w:rsid w:val="00076750"/>
    <w:rsid w:val="00076C8D"/>
    <w:rsid w:val="000B6609"/>
    <w:rsid w:val="000C54E4"/>
    <w:rsid w:val="000C747D"/>
    <w:rsid w:val="00102AC2"/>
    <w:rsid w:val="0012506F"/>
    <w:rsid w:val="001376D0"/>
    <w:rsid w:val="00154402"/>
    <w:rsid w:val="001A147F"/>
    <w:rsid w:val="00234755"/>
    <w:rsid w:val="003667BC"/>
    <w:rsid w:val="003B39BD"/>
    <w:rsid w:val="003B5E54"/>
    <w:rsid w:val="003E20EF"/>
    <w:rsid w:val="00412CFE"/>
    <w:rsid w:val="004234D2"/>
    <w:rsid w:val="0045631E"/>
    <w:rsid w:val="00486077"/>
    <w:rsid w:val="004B048E"/>
    <w:rsid w:val="004B4F5F"/>
    <w:rsid w:val="004C1A63"/>
    <w:rsid w:val="0055547A"/>
    <w:rsid w:val="00556882"/>
    <w:rsid w:val="00606538"/>
    <w:rsid w:val="006271A0"/>
    <w:rsid w:val="006951E8"/>
    <w:rsid w:val="00840809"/>
    <w:rsid w:val="00846A9F"/>
    <w:rsid w:val="00867C4A"/>
    <w:rsid w:val="008722DD"/>
    <w:rsid w:val="00883A96"/>
    <w:rsid w:val="00890642"/>
    <w:rsid w:val="008A4000"/>
    <w:rsid w:val="008F252C"/>
    <w:rsid w:val="009146AD"/>
    <w:rsid w:val="009B55E3"/>
    <w:rsid w:val="009E65E1"/>
    <w:rsid w:val="00A35824"/>
    <w:rsid w:val="00A56E76"/>
    <w:rsid w:val="00A624EF"/>
    <w:rsid w:val="00AA56A0"/>
    <w:rsid w:val="00AE5BCB"/>
    <w:rsid w:val="00AF72F0"/>
    <w:rsid w:val="00B3266C"/>
    <w:rsid w:val="00B3486A"/>
    <w:rsid w:val="00B34A64"/>
    <w:rsid w:val="00B36E46"/>
    <w:rsid w:val="00B84D35"/>
    <w:rsid w:val="00BC5752"/>
    <w:rsid w:val="00C53612"/>
    <w:rsid w:val="00D52D4A"/>
    <w:rsid w:val="00DB30A3"/>
    <w:rsid w:val="00DC4EEB"/>
    <w:rsid w:val="00DD092F"/>
    <w:rsid w:val="00E12758"/>
    <w:rsid w:val="00E15AC6"/>
    <w:rsid w:val="00E30274"/>
    <w:rsid w:val="00ED22B4"/>
    <w:rsid w:val="00F954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C3E5"/>
  <w15:docId w15:val="{147FF4D2-6458-482D-9A6F-571C862B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4D2"/>
    <w:rPr>
      <w:rFonts w:ascii="Tahoma" w:hAnsi="Tahoma" w:cs="Tahoma"/>
      <w:sz w:val="16"/>
      <w:szCs w:val="16"/>
    </w:rPr>
  </w:style>
  <w:style w:type="character" w:customStyle="1" w:styleId="BalloonTextChar">
    <w:name w:val="Balloon Text Char"/>
    <w:basedOn w:val="DefaultParagraphFont"/>
    <w:link w:val="BalloonText"/>
    <w:uiPriority w:val="99"/>
    <w:semiHidden/>
    <w:rsid w:val="004234D2"/>
    <w:rPr>
      <w:rFonts w:ascii="Tahoma" w:hAnsi="Tahoma" w:cs="Tahoma"/>
      <w:sz w:val="16"/>
      <w:szCs w:val="16"/>
    </w:rPr>
  </w:style>
  <w:style w:type="character" w:styleId="Hyperlink">
    <w:name w:val="Hyperlink"/>
    <w:basedOn w:val="DefaultParagraphFont"/>
    <w:uiPriority w:val="99"/>
    <w:unhideWhenUsed/>
    <w:rsid w:val="00846A9F"/>
    <w:rPr>
      <w:color w:val="0000FF" w:themeColor="hyperlink"/>
      <w:u w:val="single"/>
    </w:rPr>
  </w:style>
  <w:style w:type="paragraph" w:styleId="Header">
    <w:name w:val="header"/>
    <w:basedOn w:val="Normal"/>
    <w:link w:val="HeaderChar"/>
    <w:uiPriority w:val="99"/>
    <w:unhideWhenUsed/>
    <w:rsid w:val="00ED22B4"/>
    <w:pPr>
      <w:tabs>
        <w:tab w:val="center" w:pos="4513"/>
        <w:tab w:val="right" w:pos="9026"/>
      </w:tabs>
    </w:pPr>
  </w:style>
  <w:style w:type="character" w:customStyle="1" w:styleId="HeaderChar">
    <w:name w:val="Header Char"/>
    <w:basedOn w:val="DefaultParagraphFont"/>
    <w:link w:val="Header"/>
    <w:uiPriority w:val="99"/>
    <w:rsid w:val="00ED22B4"/>
  </w:style>
  <w:style w:type="paragraph" w:styleId="Footer">
    <w:name w:val="footer"/>
    <w:basedOn w:val="Normal"/>
    <w:link w:val="FooterChar"/>
    <w:uiPriority w:val="99"/>
    <w:unhideWhenUsed/>
    <w:rsid w:val="00ED22B4"/>
    <w:pPr>
      <w:tabs>
        <w:tab w:val="center" w:pos="4513"/>
        <w:tab w:val="right" w:pos="9026"/>
      </w:tabs>
    </w:pPr>
  </w:style>
  <w:style w:type="character" w:customStyle="1" w:styleId="FooterChar">
    <w:name w:val="Footer Char"/>
    <w:basedOn w:val="DefaultParagraphFont"/>
    <w:link w:val="Footer"/>
    <w:uiPriority w:val="99"/>
    <w:rsid w:val="00ED22B4"/>
  </w:style>
  <w:style w:type="character" w:styleId="CommentReference">
    <w:name w:val="annotation reference"/>
    <w:basedOn w:val="DefaultParagraphFont"/>
    <w:unhideWhenUsed/>
    <w:rsid w:val="0055547A"/>
    <w:rPr>
      <w:sz w:val="16"/>
      <w:szCs w:val="16"/>
    </w:rPr>
  </w:style>
  <w:style w:type="paragraph" w:styleId="CommentText">
    <w:name w:val="annotation text"/>
    <w:basedOn w:val="Normal"/>
    <w:link w:val="CommentTextChar"/>
    <w:uiPriority w:val="99"/>
    <w:semiHidden/>
    <w:unhideWhenUsed/>
    <w:rsid w:val="0055547A"/>
    <w:pPr>
      <w:spacing w:after="160"/>
    </w:pPr>
    <w:rPr>
      <w:sz w:val="20"/>
      <w:szCs w:val="20"/>
    </w:rPr>
  </w:style>
  <w:style w:type="character" w:customStyle="1" w:styleId="CommentTextChar">
    <w:name w:val="Comment Text Char"/>
    <w:basedOn w:val="DefaultParagraphFont"/>
    <w:link w:val="CommentText"/>
    <w:uiPriority w:val="99"/>
    <w:semiHidden/>
    <w:rsid w:val="0055547A"/>
    <w:rPr>
      <w:sz w:val="20"/>
      <w:szCs w:val="20"/>
    </w:rPr>
  </w:style>
  <w:style w:type="paragraph" w:customStyle="1" w:styleId="paragraph">
    <w:name w:val="paragraph"/>
    <w:basedOn w:val="Normal"/>
    <w:rsid w:val="00BC5752"/>
    <w:pPr>
      <w:spacing w:before="100" w:beforeAutospacing="1" w:after="100" w:afterAutospacing="1"/>
    </w:pPr>
    <w:rPr>
      <w:rFonts w:ascii="Times New Roman" w:eastAsia="Times New Roman" w:hAnsi="Times New Roman" w:cs="Times New Roman"/>
      <w:sz w:val="24"/>
      <w:szCs w:val="24"/>
      <w:lang w:bidi="he-IL"/>
    </w:rPr>
  </w:style>
  <w:style w:type="character" w:customStyle="1" w:styleId="normaltextrun">
    <w:name w:val="normaltextrun"/>
    <w:basedOn w:val="DefaultParagraphFont"/>
    <w:rsid w:val="00BC5752"/>
  </w:style>
  <w:style w:type="character" w:customStyle="1" w:styleId="eop">
    <w:name w:val="eop"/>
    <w:basedOn w:val="DefaultParagraphFont"/>
    <w:rsid w:val="00BC5752"/>
  </w:style>
  <w:style w:type="character" w:customStyle="1" w:styleId="contextualspellingandgrammarerror">
    <w:name w:val="contextualspellingandgrammarerror"/>
    <w:basedOn w:val="DefaultParagraphFont"/>
    <w:rsid w:val="00BC5752"/>
  </w:style>
  <w:style w:type="paragraph" w:styleId="CommentSubject">
    <w:name w:val="annotation subject"/>
    <w:basedOn w:val="CommentText"/>
    <w:next w:val="CommentText"/>
    <w:link w:val="CommentSubjectChar"/>
    <w:uiPriority w:val="99"/>
    <w:semiHidden/>
    <w:unhideWhenUsed/>
    <w:rsid w:val="009B55E3"/>
    <w:pPr>
      <w:spacing w:after="0"/>
    </w:pPr>
    <w:rPr>
      <w:b/>
      <w:bCs/>
    </w:rPr>
  </w:style>
  <w:style w:type="character" w:customStyle="1" w:styleId="CommentSubjectChar">
    <w:name w:val="Comment Subject Char"/>
    <w:basedOn w:val="CommentTextChar"/>
    <w:link w:val="CommentSubject"/>
    <w:uiPriority w:val="99"/>
    <w:semiHidden/>
    <w:rsid w:val="009B55E3"/>
    <w:rPr>
      <w:b/>
      <w:bCs/>
      <w:sz w:val="20"/>
      <w:szCs w:val="20"/>
    </w:rPr>
  </w:style>
  <w:style w:type="paragraph" w:styleId="ListParagraph">
    <w:name w:val="List Paragraph"/>
    <w:basedOn w:val="Normal"/>
    <w:uiPriority w:val="34"/>
    <w:qFormat/>
    <w:rsid w:val="000B6609"/>
    <w:pPr>
      <w:spacing w:after="160" w:line="256" w:lineRule="auto"/>
      <w:ind w:left="720"/>
      <w:contextualSpacing/>
    </w:pPr>
  </w:style>
  <w:style w:type="table" w:styleId="TableGrid">
    <w:name w:val="Table Grid"/>
    <w:basedOn w:val="TableNormal"/>
    <w:uiPriority w:val="59"/>
    <w:rsid w:val="00E12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758"/>
    <w:pPr>
      <w:autoSpaceDE w:val="0"/>
      <w:autoSpaceDN w:val="0"/>
      <w:adjustRightInd w:val="0"/>
    </w:pPr>
    <w:rPr>
      <w:rFonts w:ascii="Calibri" w:hAnsi="Calibri" w:cs="Calibri"/>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1008">
      <w:bodyDiv w:val="1"/>
      <w:marLeft w:val="0"/>
      <w:marRight w:val="0"/>
      <w:marTop w:val="0"/>
      <w:marBottom w:val="0"/>
      <w:divBdr>
        <w:top w:val="none" w:sz="0" w:space="0" w:color="auto"/>
        <w:left w:val="none" w:sz="0" w:space="0" w:color="auto"/>
        <w:bottom w:val="none" w:sz="0" w:space="0" w:color="auto"/>
        <w:right w:val="none" w:sz="0" w:space="0" w:color="auto"/>
      </w:divBdr>
    </w:div>
    <w:div w:id="224800556">
      <w:bodyDiv w:val="1"/>
      <w:marLeft w:val="0"/>
      <w:marRight w:val="0"/>
      <w:marTop w:val="0"/>
      <w:marBottom w:val="0"/>
      <w:divBdr>
        <w:top w:val="none" w:sz="0" w:space="0" w:color="auto"/>
        <w:left w:val="none" w:sz="0" w:space="0" w:color="auto"/>
        <w:bottom w:val="none" w:sz="0" w:space="0" w:color="auto"/>
        <w:right w:val="none" w:sz="0" w:space="0" w:color="auto"/>
      </w:divBdr>
    </w:div>
    <w:div w:id="120436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faretec.com" TargetMode="External"/><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Sackett</dc:creator>
  <cp:lastModifiedBy>Colleen Andrews</cp:lastModifiedBy>
  <cp:revision>3</cp:revision>
  <dcterms:created xsi:type="dcterms:W3CDTF">2021-10-11T15:39:00Z</dcterms:created>
  <dcterms:modified xsi:type="dcterms:W3CDTF">2023-08-11T18:21:00Z</dcterms:modified>
</cp:coreProperties>
</file>